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F17ADC" w14:textId="77777777" w:rsidR="00C44756" w:rsidRPr="006D5376" w:rsidRDefault="00C44756" w:rsidP="00C74B74">
      <w:pPr>
        <w:spacing w:before="240" w:line="360" w:lineRule="auto"/>
        <w:jc w:val="center"/>
        <w:rPr>
          <w:rFonts w:ascii="Times New Roman" w:hAnsi="Times New Roman" w:cs="Times New Roman"/>
          <w:sz w:val="32"/>
          <w:szCs w:val="32"/>
        </w:rPr>
      </w:pPr>
      <w:r w:rsidRPr="001110A7">
        <w:rPr>
          <w:rFonts w:ascii="Times New Roman" w:hAnsi="Times New Roman" w:cs="Times New Roman"/>
          <w:sz w:val="32"/>
          <w:szCs w:val="32"/>
        </w:rPr>
        <w:t>Supplement</w:t>
      </w:r>
      <w:r>
        <w:rPr>
          <w:rFonts w:ascii="Times New Roman" w:hAnsi="Times New Roman" w:cs="Times New Roman"/>
          <w:sz w:val="32"/>
          <w:szCs w:val="32"/>
        </w:rPr>
        <w:t xml:space="preserve"> S3</w:t>
      </w:r>
    </w:p>
    <w:p w14:paraId="5ACB0F53" w14:textId="77777777" w:rsidR="00C44756" w:rsidRDefault="00C44756" w:rsidP="00B83545">
      <w:pPr>
        <w:spacing w:line="480" w:lineRule="auto"/>
        <w:jc w:val="both"/>
        <w:rPr>
          <w:rFonts w:ascii="Times New Roman" w:hAnsi="Times New Roman" w:cs="Times New Roman"/>
          <w:i/>
          <w:iCs/>
          <w:sz w:val="24"/>
          <w:szCs w:val="24"/>
        </w:rPr>
      </w:pPr>
    </w:p>
    <w:p w14:paraId="4E39114F" w14:textId="7E59EC4C" w:rsidR="00C44756" w:rsidRPr="00C44756" w:rsidRDefault="00C44756" w:rsidP="00B83545">
      <w:pPr>
        <w:spacing w:line="480" w:lineRule="auto"/>
        <w:jc w:val="both"/>
        <w:rPr>
          <w:rFonts w:ascii="Times New Roman" w:hAnsi="Times New Roman" w:cs="Times New Roman"/>
          <w:i/>
          <w:iCs/>
          <w:sz w:val="24"/>
          <w:szCs w:val="24"/>
        </w:rPr>
      </w:pPr>
      <w:r w:rsidRPr="00C44756">
        <w:rPr>
          <w:rFonts w:ascii="Times New Roman" w:hAnsi="Times New Roman" w:cs="Times New Roman"/>
          <w:i/>
          <w:iCs/>
          <w:sz w:val="24"/>
          <w:szCs w:val="24"/>
        </w:rPr>
        <w:t>Additional information on the study area</w:t>
      </w:r>
    </w:p>
    <w:p w14:paraId="7F3C7CB6" w14:textId="55CDAB7F" w:rsidR="000215B9" w:rsidRPr="00C44756" w:rsidRDefault="000215B9" w:rsidP="00B83545">
      <w:pPr>
        <w:spacing w:line="480" w:lineRule="auto"/>
        <w:jc w:val="both"/>
        <w:rPr>
          <w:rFonts w:ascii="Times New Roman" w:hAnsi="Times New Roman" w:cs="Times New Roman"/>
          <w:sz w:val="24"/>
          <w:szCs w:val="24"/>
        </w:rPr>
      </w:pPr>
      <w:r w:rsidRPr="00C44756">
        <w:rPr>
          <w:rFonts w:ascii="Times New Roman" w:hAnsi="Times New Roman" w:cs="Times New Roman"/>
          <w:sz w:val="24"/>
          <w:szCs w:val="24"/>
        </w:rPr>
        <w:t xml:space="preserve">The plots were located between 159 to 615 m above sea level and covered a chrono-sequence of forest recovery, including </w:t>
      </w:r>
      <w:proofErr w:type="spellStart"/>
      <w:r w:rsidRPr="00C44756">
        <w:rPr>
          <w:rFonts w:ascii="Times New Roman" w:hAnsi="Times New Roman" w:cs="Times New Roman"/>
          <w:sz w:val="24"/>
          <w:szCs w:val="24"/>
        </w:rPr>
        <w:t>i</w:t>
      </w:r>
      <w:proofErr w:type="spellEnd"/>
      <w:r w:rsidRPr="00C44756">
        <w:rPr>
          <w:rFonts w:ascii="Times New Roman" w:hAnsi="Times New Roman" w:cs="Times New Roman"/>
          <w:sz w:val="24"/>
          <w:szCs w:val="24"/>
        </w:rPr>
        <w:t xml:space="preserve">) active pastures and cacao plantations; ii) formerly used pastures and plantations, which were secondary forests regrowing for 1 to 38 years at the time of the study, and iii) old-growth forests, with no indication of recent use by humans. </w:t>
      </w:r>
    </w:p>
    <w:p w14:paraId="5F12A8A0" w14:textId="672ECB23" w:rsidR="00CE6D99" w:rsidRDefault="00CE6D99" w:rsidP="00B83545">
      <w:pPr>
        <w:spacing w:line="480" w:lineRule="auto"/>
        <w:jc w:val="both"/>
        <w:rPr>
          <w:rFonts w:ascii="Times New Roman" w:hAnsi="Times New Roman" w:cs="Times New Roman"/>
          <w:sz w:val="24"/>
          <w:szCs w:val="24"/>
        </w:rPr>
      </w:pPr>
      <w:r w:rsidRPr="00C44756">
        <w:rPr>
          <w:rFonts w:ascii="Times New Roman" w:hAnsi="Times New Roman" w:cs="Times New Roman"/>
          <w:sz w:val="24"/>
          <w:szCs w:val="24"/>
        </w:rPr>
        <w:t>We separated the second-growth sites into four categories: former pastures and cacao plantations with recovery between 1-20 years and former pastures and cacao plantations with recovery between 21-38 years (Fig. 1). Recently recovering pastures were covered by a dense grass layer. In contrast, former cacao plantations already had a tree layer composed of cacao trees. In the cacao plantations the ground was mostly bare or covered with a very sparse grass and shrub layer, due to shading by cacao trees and the use of herbicides. Both pastures and cacao plantations were characterized by remnant trees and sometimes small groups of trees, typical for the smallholder agricultural landscapes in this area</w:t>
      </w:r>
      <w:r w:rsidR="00C44756" w:rsidRPr="00C44756">
        <w:rPr>
          <w:rFonts w:ascii="Times New Roman" w:hAnsi="Times New Roman" w:cs="Times New Roman"/>
          <w:sz w:val="24"/>
          <w:szCs w:val="24"/>
        </w:rPr>
        <w:t xml:space="preserve"> (Fig. S3.</w:t>
      </w:r>
      <w:r w:rsidR="004B4AF5">
        <w:rPr>
          <w:rFonts w:ascii="Times New Roman" w:hAnsi="Times New Roman" w:cs="Times New Roman"/>
          <w:sz w:val="24"/>
          <w:szCs w:val="24"/>
        </w:rPr>
        <w:t>2</w:t>
      </w:r>
      <w:r w:rsidR="00C44756">
        <w:rPr>
          <w:rFonts w:ascii="Times New Roman" w:hAnsi="Times New Roman" w:cs="Times New Roman"/>
          <w:sz w:val="24"/>
          <w:szCs w:val="24"/>
        </w:rPr>
        <w:t xml:space="preserve"> - S3.</w:t>
      </w:r>
      <w:r w:rsidR="004B4AF5">
        <w:rPr>
          <w:rFonts w:ascii="Times New Roman" w:hAnsi="Times New Roman" w:cs="Times New Roman"/>
          <w:sz w:val="24"/>
          <w:szCs w:val="24"/>
        </w:rPr>
        <w:t>4</w:t>
      </w:r>
      <w:r w:rsidR="00C44756" w:rsidRPr="00C44756">
        <w:rPr>
          <w:rFonts w:ascii="Times New Roman" w:hAnsi="Times New Roman" w:cs="Times New Roman"/>
          <w:sz w:val="24"/>
          <w:szCs w:val="24"/>
        </w:rPr>
        <w:t>)</w:t>
      </w:r>
      <w:r w:rsidRPr="00C44756">
        <w:rPr>
          <w:rFonts w:ascii="Times New Roman" w:hAnsi="Times New Roman" w:cs="Times New Roman"/>
          <w:sz w:val="24"/>
          <w:szCs w:val="24"/>
        </w:rPr>
        <w:t xml:space="preserve">. All recovery processes occurred naturally after abandonment, without active planting. The different categories and the according sites are spatially independent in their species communities </w:t>
      </w:r>
      <w:r w:rsidRPr="00C44756">
        <w:rPr>
          <w:rFonts w:ascii="Times New Roman" w:hAnsi="Times New Roman" w:cs="Times New Roman"/>
          <w:sz w:val="24"/>
          <w:szCs w:val="24"/>
        </w:rPr>
        <w:fldChar w:fldCharType="begin" w:fldLock="1"/>
      </w:r>
      <w:r w:rsidRPr="00C44756">
        <w:rPr>
          <w:rFonts w:ascii="Times New Roman" w:hAnsi="Times New Roman" w:cs="Times New Roman"/>
          <w:sz w:val="24"/>
          <w:szCs w:val="24"/>
        </w:rPr>
        <w:instrText>ADDIN CSL_CITATION {"citationItems":[{"id":"ITEM-1","itemData":{"author":[{"dropping-particle":"","family":"Müller","given":"Jörg","non-dropping-particle":"","parse-names":false,"suffix":""},{"dropping-particle":"","family":"Mitesser","given":"Oliver","non-dropping-particle":"","parse-names":false,"suffix":""},{"dropping-particle":"","family":"Schaefer","given":"H. Martin","non-dropping-particle":"","parse-names":false,"suffix":""},{"dropping-particle":"","family":"Seibold","given":"Sebastian","non-dropping-particle":"","parse-names":false,"suffix":""},{"dropping-particle":"","family":"Busse","given":"Annika","non-dropping-particle":"","parse-names":false,"suffix":""},{"dropping-particle":"","family":"Kriegel","given":"Peter","non-dropping-particle":"","parse-names":false,"suffix":""},{"dropping-particle":"","family":"Rabl","given":"Dominik","non-dropping-particle":"","parse-names":false,"suffix":""},{"dropping-particle":"","family":"Gelis","given":"Rudy","non-dropping-particle":"","parse-names":false,"suffix":""},{"dropping-particle":"","family":"Arteaga","given":"Alejandro","non-dropping-particle":"","parse-names":false,"suffix":""},{"dropping-particle":"","family":"Freile","given":"Juan","non-dropping-particle":"","parse-names":false,"suffix":""},{"dropping-particle":"","family":"Leite","given":"Gabriel Augusto","non-dropping-particle":"","parse-names":false,"suffix":""},{"dropping-particle":"","family":"Melo","given":"Tomaz Nascimento","non-dropping-particle":"de","parse-names":false,"suffix":""},{"dropping-particle":"","family":"LeBien","given":"Jack","non-dropping-particle":"","parse-names":false,"suffix":""},{"dropping-particle":"","family":"Campos-Cerqueira","given":"Marconi","non-dropping-particle":"","parse-names":false,"suffix":""},{"dropping-particle":"","family":"Blüthgen","given":"Nico","non-dropping-particle":"","parse-names":false,"suffix":""},{"dropping-particle":"","family":"Tremlett","given":"Constance J.","non-dropping-particle":"","parse-names":false,"suffix":""},{"dropping-particle":"","family":"Böttger","given":"Dennis","non-dropping-particle":"","parse-names":false,"suffix":""},{"dropping-particle":"","family":"Feldhaar","given":"Heike","non-dropping-particle":"","parse-names":false,"suffix":""},{"dropping-particle":"","family":"Grella","given":"Nina","non-dropping-particle":"","parse-names":false,"suffix":""},{"dropping-particle":"","family":"Falconí-López","given":"Ana","non-dropping-particle":"","parse-names":false,"suffix":""},{"dropping-particle":"","family":"Donoso","given":"David A.","non-dropping-particle":"","parse-names":false,"suffix":""},{"dropping-particle":"","family":"Moriniere","given":"Jerome","non-dropping-particle":"","parse-names":false,"suffix":""},{"dropping-particle":"","family":"Buřivalová","given":"Zuzana","non-dropping-particle":"","parse-names":false,"suffix":""}],"container-title":"Nature Communications","id":"ITEM-1","issued":{"date-parts":[["2023"]]},"page":"6191","title":"Soundscapes and deep learning enable tracking biodiversity recovery in tropical forests","type":"article-journal","volume":"14"},"uris":["http://www.mendeley.com/documents/?uuid=790cfbb9-7bd6-47af-b4c7-4da4351dc4f5"]}],"mendeley":{"formattedCitation":"(Müller et al., 2023)","plainTextFormattedCitation":"(Müller et al., 2023)","previouslyFormattedCitation":"(Müller et al., 2023)"},"properties":{"noteIndex":0},"schema":"https://github.com/citation-style-language/schema/raw/master/csl-citation.json"}</w:instrText>
      </w:r>
      <w:r w:rsidRPr="00C44756">
        <w:rPr>
          <w:rFonts w:ascii="Times New Roman" w:hAnsi="Times New Roman" w:cs="Times New Roman"/>
          <w:sz w:val="24"/>
          <w:szCs w:val="24"/>
        </w:rPr>
        <w:fldChar w:fldCharType="separate"/>
      </w:r>
      <w:r w:rsidRPr="00C44756">
        <w:rPr>
          <w:rFonts w:ascii="Times New Roman" w:hAnsi="Times New Roman" w:cs="Times New Roman"/>
          <w:noProof/>
          <w:sz w:val="24"/>
          <w:szCs w:val="24"/>
        </w:rPr>
        <w:t>(Müller et al., 2023)</w:t>
      </w:r>
      <w:r w:rsidRPr="00C44756">
        <w:rPr>
          <w:rFonts w:ascii="Times New Roman" w:hAnsi="Times New Roman" w:cs="Times New Roman"/>
          <w:sz w:val="24"/>
          <w:szCs w:val="24"/>
        </w:rPr>
        <w:fldChar w:fldCharType="end"/>
      </w:r>
      <w:r w:rsidRPr="00C44756">
        <w:rPr>
          <w:rFonts w:ascii="Times New Roman" w:hAnsi="Times New Roman" w:cs="Times New Roman"/>
          <w:sz w:val="24"/>
          <w:szCs w:val="24"/>
        </w:rPr>
        <w:t xml:space="preserve">. </w:t>
      </w:r>
      <w:r w:rsidR="00E55519">
        <w:rPr>
          <w:rFonts w:ascii="Times New Roman" w:hAnsi="Times New Roman" w:cs="Times New Roman"/>
          <w:sz w:val="24"/>
          <w:szCs w:val="24"/>
        </w:rPr>
        <w:t xml:space="preserve">Location of the study plots is shown in Figure S3.1. </w:t>
      </w:r>
    </w:p>
    <w:p w14:paraId="461EF019" w14:textId="3F5C0E72" w:rsidR="00397DFB" w:rsidRDefault="00F83C3A" w:rsidP="00B83545">
      <w:pPr>
        <w:spacing w:line="48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DBBC0FF" wp14:editId="635469E5">
            <wp:extent cx="5759450" cy="5759450"/>
            <wp:effectExtent l="0" t="0" r="0" b="0"/>
            <wp:docPr id="15978366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759450" cy="5759450"/>
                    </a:xfrm>
                    <a:prstGeom prst="rect">
                      <a:avLst/>
                    </a:prstGeom>
                    <a:noFill/>
                    <a:ln>
                      <a:noFill/>
                    </a:ln>
                  </pic:spPr>
                </pic:pic>
              </a:graphicData>
            </a:graphic>
          </wp:inline>
        </w:drawing>
      </w:r>
    </w:p>
    <w:p w14:paraId="1D5A32AD" w14:textId="0EAB792D" w:rsidR="00397DFB" w:rsidRPr="00C44756" w:rsidRDefault="00397DFB" w:rsidP="00C74B74">
      <w:pPr>
        <w:spacing w:before="100" w:beforeAutospacing="1" w:after="100" w:afterAutospacing="1" w:line="240" w:lineRule="auto"/>
        <w:jc w:val="both"/>
        <w:rPr>
          <w:rFonts w:ascii="Times New Roman" w:eastAsia="Times New Roman" w:hAnsi="Times New Roman" w:cs="Times New Roman"/>
          <w:sz w:val="24"/>
          <w:szCs w:val="24"/>
          <w:lang w:val="en-US" w:eastAsia="de-DE"/>
        </w:rPr>
      </w:pPr>
      <w:r w:rsidRPr="00C44756">
        <w:rPr>
          <w:rFonts w:ascii="Times New Roman" w:eastAsia="Times New Roman" w:hAnsi="Times New Roman" w:cs="Times New Roman"/>
          <w:sz w:val="24"/>
          <w:szCs w:val="24"/>
          <w:lang w:val="en-US" w:eastAsia="de-DE"/>
        </w:rPr>
        <w:t xml:space="preserve">Figure S3.1. </w:t>
      </w:r>
      <w:r>
        <w:rPr>
          <w:rFonts w:ascii="Times New Roman" w:eastAsia="Times New Roman" w:hAnsi="Times New Roman" w:cs="Times New Roman"/>
          <w:sz w:val="24"/>
          <w:szCs w:val="24"/>
          <w:lang w:val="en-US" w:eastAsia="de-DE"/>
        </w:rPr>
        <w:t>Location of the different study plots</w:t>
      </w:r>
      <w:r w:rsidRPr="00C44756">
        <w:rPr>
          <w:rFonts w:ascii="Times New Roman" w:eastAsia="Times New Roman" w:hAnsi="Times New Roman" w:cs="Times New Roman"/>
          <w:sz w:val="24"/>
          <w:szCs w:val="24"/>
          <w:lang w:val="en-US" w:eastAsia="de-DE"/>
        </w:rPr>
        <w:t xml:space="preserve"> in the lowland </w:t>
      </w:r>
      <w:r w:rsidRPr="00C44756">
        <w:rPr>
          <w:rFonts w:ascii="Times New Roman" w:hAnsi="Times New Roman" w:cs="Times New Roman"/>
          <w:sz w:val="24"/>
          <w:szCs w:val="24"/>
        </w:rPr>
        <w:t>Ecuadorian Chocó</w:t>
      </w:r>
      <w:r w:rsidR="00401AE0">
        <w:rPr>
          <w:rFonts w:ascii="Times New Roman" w:hAnsi="Times New Roman" w:cs="Times New Roman"/>
          <w:sz w:val="24"/>
          <w:szCs w:val="24"/>
        </w:rPr>
        <w:t xml:space="preserve"> (</w:t>
      </w:r>
      <w:r w:rsidR="00401AE0" w:rsidRPr="00401AE0">
        <w:rPr>
          <w:rFonts w:ascii="Times New Roman" w:hAnsi="Times New Roman" w:cs="Times New Roman"/>
          <w:sz w:val="24"/>
          <w:szCs w:val="24"/>
        </w:rPr>
        <w:t>Esmeraldas Province</w:t>
      </w:r>
      <w:r w:rsidR="00401AE0">
        <w:rPr>
          <w:rFonts w:ascii="Times New Roman" w:hAnsi="Times New Roman" w:cs="Times New Roman"/>
          <w:sz w:val="24"/>
          <w:szCs w:val="24"/>
        </w:rPr>
        <w:t>)</w:t>
      </w:r>
      <w:r w:rsidRPr="00C44756">
        <w:rPr>
          <w:rFonts w:ascii="Times New Roman" w:eastAsia="Times New Roman" w:hAnsi="Times New Roman" w:cs="Times New Roman"/>
          <w:sz w:val="24"/>
          <w:szCs w:val="24"/>
          <w:lang w:val="en-US" w:eastAsia="de-DE"/>
        </w:rPr>
        <w:t>.</w:t>
      </w:r>
      <w:r>
        <w:rPr>
          <w:rFonts w:ascii="Times New Roman" w:eastAsia="Times New Roman" w:hAnsi="Times New Roman" w:cs="Times New Roman"/>
          <w:sz w:val="24"/>
          <w:szCs w:val="24"/>
          <w:lang w:val="en-US" w:eastAsia="de-DE"/>
        </w:rPr>
        <w:t xml:space="preserve"> The seven categories include currently managed </w:t>
      </w:r>
      <w:r w:rsidRPr="00397DFB">
        <w:rPr>
          <w:rFonts w:ascii="Times New Roman" w:eastAsia="Times New Roman" w:hAnsi="Times New Roman" w:cs="Times New Roman"/>
          <w:sz w:val="24"/>
          <w:szCs w:val="24"/>
          <w:lang w:val="en-US" w:eastAsia="de-DE"/>
        </w:rPr>
        <w:t>pasture</w:t>
      </w:r>
      <w:r>
        <w:rPr>
          <w:rFonts w:ascii="Times New Roman" w:eastAsia="Times New Roman" w:hAnsi="Times New Roman" w:cs="Times New Roman"/>
          <w:sz w:val="24"/>
          <w:szCs w:val="24"/>
          <w:lang w:val="en-US" w:eastAsia="de-DE"/>
        </w:rPr>
        <w:t xml:space="preserve"> and</w:t>
      </w:r>
      <w:r w:rsidRPr="00397DFB">
        <w:rPr>
          <w:rFonts w:ascii="Times New Roman" w:eastAsia="Times New Roman" w:hAnsi="Times New Roman" w:cs="Times New Roman"/>
          <w:sz w:val="24"/>
          <w:szCs w:val="24"/>
          <w:lang w:val="en-US" w:eastAsia="de-DE"/>
        </w:rPr>
        <w:t xml:space="preserve"> cacao</w:t>
      </w:r>
      <w:r>
        <w:rPr>
          <w:rFonts w:ascii="Times New Roman" w:eastAsia="Times New Roman" w:hAnsi="Times New Roman" w:cs="Times New Roman"/>
          <w:sz w:val="24"/>
          <w:szCs w:val="24"/>
          <w:lang w:val="en-US" w:eastAsia="de-DE"/>
        </w:rPr>
        <w:t xml:space="preserve"> (Agriculture)</w:t>
      </w:r>
      <w:r w:rsidRPr="00397DFB">
        <w:rPr>
          <w:rFonts w:ascii="Times New Roman" w:eastAsia="Times New Roman" w:hAnsi="Times New Roman" w:cs="Times New Roman"/>
          <w:sz w:val="24"/>
          <w:szCs w:val="24"/>
          <w:lang w:val="en-US" w:eastAsia="de-DE"/>
        </w:rPr>
        <w:t xml:space="preserve">, secondary forest on former pasture </w:t>
      </w:r>
      <w:r>
        <w:rPr>
          <w:rFonts w:ascii="Times New Roman" w:eastAsia="Times New Roman" w:hAnsi="Times New Roman" w:cs="Times New Roman"/>
          <w:sz w:val="24"/>
          <w:szCs w:val="24"/>
          <w:lang w:val="en-US" w:eastAsia="de-DE"/>
        </w:rPr>
        <w:t xml:space="preserve">and on former cacao </w:t>
      </w:r>
      <w:r w:rsidRPr="00397DFB">
        <w:rPr>
          <w:rFonts w:ascii="Times New Roman" w:eastAsia="Times New Roman" w:hAnsi="Times New Roman" w:cs="Times New Roman"/>
          <w:sz w:val="24"/>
          <w:szCs w:val="24"/>
          <w:lang w:val="en-US" w:eastAsia="de-DE"/>
        </w:rPr>
        <w:t>1-20 years old</w:t>
      </w:r>
      <w:r>
        <w:rPr>
          <w:rFonts w:ascii="Times New Roman" w:eastAsia="Times New Roman" w:hAnsi="Times New Roman" w:cs="Times New Roman"/>
          <w:sz w:val="24"/>
          <w:szCs w:val="24"/>
          <w:lang w:val="en-US" w:eastAsia="de-DE"/>
        </w:rPr>
        <w:t xml:space="preserve"> </w:t>
      </w:r>
      <w:r w:rsidRPr="00397DFB">
        <w:rPr>
          <w:rFonts w:ascii="Times New Roman" w:eastAsia="Times New Roman" w:hAnsi="Times New Roman" w:cs="Times New Roman"/>
          <w:sz w:val="24"/>
          <w:szCs w:val="24"/>
          <w:lang w:val="en-US" w:eastAsia="de-DE"/>
        </w:rPr>
        <w:t>(</w:t>
      </w:r>
      <w:r>
        <w:rPr>
          <w:rFonts w:ascii="Times New Roman" w:eastAsia="Times New Roman" w:hAnsi="Times New Roman" w:cs="Times New Roman"/>
          <w:sz w:val="24"/>
          <w:szCs w:val="24"/>
          <w:lang w:val="en-US" w:eastAsia="de-DE"/>
        </w:rPr>
        <w:t>Regeneration I</w:t>
      </w:r>
      <w:r w:rsidRPr="00397DFB">
        <w:rPr>
          <w:rFonts w:ascii="Times New Roman" w:eastAsia="Times New Roman" w:hAnsi="Times New Roman" w:cs="Times New Roman"/>
          <w:sz w:val="24"/>
          <w:szCs w:val="24"/>
          <w:lang w:val="en-US" w:eastAsia="de-DE"/>
        </w:rPr>
        <w:t xml:space="preserve">), secondary forest on former pasture </w:t>
      </w:r>
      <w:r>
        <w:rPr>
          <w:rFonts w:ascii="Times New Roman" w:eastAsia="Times New Roman" w:hAnsi="Times New Roman" w:cs="Times New Roman"/>
          <w:sz w:val="24"/>
          <w:szCs w:val="24"/>
          <w:lang w:val="en-US" w:eastAsia="de-DE"/>
        </w:rPr>
        <w:t xml:space="preserve">and cacao </w:t>
      </w:r>
      <w:r w:rsidRPr="00397DFB">
        <w:rPr>
          <w:rFonts w:ascii="Times New Roman" w:eastAsia="Times New Roman" w:hAnsi="Times New Roman" w:cs="Times New Roman"/>
          <w:sz w:val="24"/>
          <w:szCs w:val="24"/>
          <w:lang w:val="en-US" w:eastAsia="de-DE"/>
        </w:rPr>
        <w:t>21-38 years old (</w:t>
      </w:r>
      <w:r>
        <w:rPr>
          <w:rFonts w:ascii="Times New Roman" w:eastAsia="Times New Roman" w:hAnsi="Times New Roman" w:cs="Times New Roman"/>
          <w:sz w:val="24"/>
          <w:szCs w:val="24"/>
          <w:lang w:val="en-US" w:eastAsia="de-DE"/>
        </w:rPr>
        <w:t>Regeneration II</w:t>
      </w:r>
      <w:r w:rsidRPr="00397DFB">
        <w:rPr>
          <w:rFonts w:ascii="Times New Roman" w:eastAsia="Times New Roman" w:hAnsi="Times New Roman" w:cs="Times New Roman"/>
          <w:sz w:val="24"/>
          <w:szCs w:val="24"/>
          <w:lang w:val="en-US" w:eastAsia="de-DE"/>
        </w:rPr>
        <w:t>), and old</w:t>
      </w:r>
      <w:r w:rsidR="00B83545">
        <w:rPr>
          <w:rFonts w:ascii="Times New Roman" w:eastAsia="Times New Roman" w:hAnsi="Times New Roman" w:cs="Times New Roman"/>
          <w:sz w:val="24"/>
          <w:szCs w:val="24"/>
          <w:lang w:val="en-US" w:eastAsia="de-DE"/>
        </w:rPr>
        <w:t>-</w:t>
      </w:r>
      <w:r w:rsidRPr="00397DFB">
        <w:rPr>
          <w:rFonts w:ascii="Times New Roman" w:eastAsia="Times New Roman" w:hAnsi="Times New Roman" w:cs="Times New Roman"/>
          <w:sz w:val="24"/>
          <w:szCs w:val="24"/>
          <w:lang w:val="en-US" w:eastAsia="de-DE"/>
        </w:rPr>
        <w:t>growth forest</w:t>
      </w:r>
      <w:r>
        <w:rPr>
          <w:rFonts w:ascii="Times New Roman" w:eastAsia="Times New Roman" w:hAnsi="Times New Roman" w:cs="Times New Roman"/>
          <w:sz w:val="24"/>
          <w:szCs w:val="24"/>
          <w:lang w:val="en-US" w:eastAsia="de-DE"/>
        </w:rPr>
        <w:t xml:space="preserve"> </w:t>
      </w:r>
      <w:r w:rsidRPr="00397DFB">
        <w:rPr>
          <w:rFonts w:ascii="Times New Roman" w:eastAsia="Times New Roman" w:hAnsi="Times New Roman" w:cs="Times New Roman"/>
          <w:sz w:val="24"/>
          <w:szCs w:val="24"/>
          <w:lang w:val="en-US" w:eastAsia="de-DE"/>
        </w:rPr>
        <w:t>(Old</w:t>
      </w:r>
      <w:r w:rsidR="00F83C3A">
        <w:rPr>
          <w:rFonts w:ascii="Times New Roman" w:eastAsia="Times New Roman" w:hAnsi="Times New Roman" w:cs="Times New Roman"/>
          <w:sz w:val="24"/>
          <w:szCs w:val="24"/>
          <w:lang w:val="en-US" w:eastAsia="de-DE"/>
        </w:rPr>
        <w:t>-</w:t>
      </w:r>
      <w:r w:rsidRPr="00397DFB">
        <w:rPr>
          <w:rFonts w:ascii="Times New Roman" w:eastAsia="Times New Roman" w:hAnsi="Times New Roman" w:cs="Times New Roman"/>
          <w:sz w:val="24"/>
          <w:szCs w:val="24"/>
          <w:lang w:val="en-US" w:eastAsia="de-DE"/>
        </w:rPr>
        <w:t>gr</w:t>
      </w:r>
      <w:r>
        <w:rPr>
          <w:rFonts w:ascii="Times New Roman" w:eastAsia="Times New Roman" w:hAnsi="Times New Roman" w:cs="Times New Roman"/>
          <w:sz w:val="24"/>
          <w:szCs w:val="24"/>
          <w:lang w:val="en-US" w:eastAsia="de-DE"/>
        </w:rPr>
        <w:t>owth</w:t>
      </w:r>
      <w:r w:rsidRPr="00397DFB">
        <w:rPr>
          <w:rFonts w:ascii="Times New Roman" w:eastAsia="Times New Roman" w:hAnsi="Times New Roman" w:cs="Times New Roman"/>
          <w:sz w:val="24"/>
          <w:szCs w:val="24"/>
          <w:lang w:val="en-US" w:eastAsia="de-DE"/>
        </w:rPr>
        <w:t>)</w:t>
      </w:r>
      <w:r>
        <w:rPr>
          <w:rFonts w:ascii="Times New Roman" w:eastAsia="Times New Roman" w:hAnsi="Times New Roman" w:cs="Times New Roman"/>
          <w:sz w:val="24"/>
          <w:szCs w:val="24"/>
          <w:lang w:val="en-US" w:eastAsia="de-DE"/>
        </w:rPr>
        <w:t>.</w:t>
      </w:r>
    </w:p>
    <w:p w14:paraId="1AB76FC8" w14:textId="77777777" w:rsidR="00397DFB" w:rsidRPr="00397DFB" w:rsidRDefault="00397DFB" w:rsidP="00B83545">
      <w:pPr>
        <w:spacing w:line="480" w:lineRule="auto"/>
        <w:jc w:val="both"/>
        <w:rPr>
          <w:rFonts w:ascii="Times New Roman" w:hAnsi="Times New Roman" w:cs="Times New Roman"/>
          <w:sz w:val="24"/>
          <w:szCs w:val="24"/>
          <w:lang w:val="en-US"/>
        </w:rPr>
      </w:pPr>
    </w:p>
    <w:p w14:paraId="4690143B" w14:textId="77777777" w:rsidR="00CE6D99" w:rsidRPr="00C44756" w:rsidRDefault="00CE6D99" w:rsidP="00B83545">
      <w:pPr>
        <w:spacing w:before="100" w:beforeAutospacing="1" w:after="100" w:afterAutospacing="1" w:line="480" w:lineRule="auto"/>
        <w:jc w:val="both"/>
        <w:rPr>
          <w:rFonts w:ascii="Times New Roman" w:eastAsia="Times New Roman" w:hAnsi="Times New Roman" w:cs="Times New Roman"/>
          <w:sz w:val="24"/>
          <w:szCs w:val="24"/>
          <w:lang w:val="de-DE" w:eastAsia="de-DE"/>
        </w:rPr>
      </w:pPr>
      <w:r w:rsidRPr="00C44756">
        <w:rPr>
          <w:rFonts w:ascii="Times New Roman" w:eastAsia="Times New Roman" w:hAnsi="Times New Roman" w:cs="Times New Roman"/>
          <w:noProof/>
          <w:sz w:val="24"/>
          <w:szCs w:val="24"/>
          <w:lang w:val="de-DE" w:eastAsia="de-DE"/>
        </w:rPr>
        <w:lastRenderedPageBreak/>
        <w:drawing>
          <wp:inline distT="0" distB="0" distL="0" distR="0" wp14:anchorId="0AB3556D" wp14:editId="1CE0DCBD">
            <wp:extent cx="5760720" cy="3840480"/>
            <wp:effectExtent l="0" t="0" r="0" b="762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mallscale matrix.JPG"/>
                    <pic:cNvPicPr/>
                  </pic:nvPicPr>
                  <pic:blipFill>
                    <a:blip r:embed="rId5" cstate="print">
                      <a:extLst>
                        <a:ext uri="{28A0092B-C50C-407E-A947-70E740481C1C}">
                          <a14:useLocalDpi xmlns:a14="http://schemas.microsoft.com/office/drawing/2010/main"/>
                        </a:ext>
                      </a:extLst>
                    </a:blip>
                    <a:stretch>
                      <a:fillRect/>
                    </a:stretch>
                  </pic:blipFill>
                  <pic:spPr>
                    <a:xfrm>
                      <a:off x="0" y="0"/>
                      <a:ext cx="5760720" cy="3840480"/>
                    </a:xfrm>
                    <a:prstGeom prst="rect">
                      <a:avLst/>
                    </a:prstGeom>
                  </pic:spPr>
                </pic:pic>
              </a:graphicData>
            </a:graphic>
          </wp:inline>
        </w:drawing>
      </w:r>
    </w:p>
    <w:p w14:paraId="2064EEAE" w14:textId="3A159AD2" w:rsidR="00CE6D99" w:rsidRPr="00C44756" w:rsidRDefault="00C44756" w:rsidP="00C74B74">
      <w:pPr>
        <w:spacing w:before="100" w:beforeAutospacing="1" w:after="100" w:afterAutospacing="1" w:line="240" w:lineRule="auto"/>
        <w:jc w:val="both"/>
        <w:rPr>
          <w:rFonts w:ascii="Times New Roman" w:eastAsia="Times New Roman" w:hAnsi="Times New Roman" w:cs="Times New Roman"/>
          <w:sz w:val="24"/>
          <w:szCs w:val="24"/>
          <w:lang w:val="en-US" w:eastAsia="de-DE"/>
        </w:rPr>
      </w:pPr>
      <w:r w:rsidRPr="00C44756">
        <w:rPr>
          <w:rFonts w:ascii="Times New Roman" w:eastAsia="Times New Roman" w:hAnsi="Times New Roman" w:cs="Times New Roman"/>
          <w:sz w:val="24"/>
          <w:szCs w:val="24"/>
          <w:lang w:val="en-US" w:eastAsia="de-DE"/>
        </w:rPr>
        <w:t>Figure S3.</w:t>
      </w:r>
      <w:r w:rsidR="004B4AF5">
        <w:rPr>
          <w:rFonts w:ascii="Times New Roman" w:eastAsia="Times New Roman" w:hAnsi="Times New Roman" w:cs="Times New Roman"/>
          <w:sz w:val="24"/>
          <w:szCs w:val="24"/>
          <w:lang w:val="en-US" w:eastAsia="de-DE"/>
        </w:rPr>
        <w:t>2</w:t>
      </w:r>
      <w:r w:rsidRPr="00C44756">
        <w:rPr>
          <w:rFonts w:ascii="Times New Roman" w:eastAsia="Times New Roman" w:hAnsi="Times New Roman" w:cs="Times New Roman"/>
          <w:sz w:val="24"/>
          <w:szCs w:val="24"/>
          <w:lang w:val="en-US" w:eastAsia="de-DE"/>
        </w:rPr>
        <w:t xml:space="preserve">. </w:t>
      </w:r>
      <w:r w:rsidR="00CE6D99" w:rsidRPr="00C44756">
        <w:rPr>
          <w:rFonts w:ascii="Times New Roman" w:eastAsia="Times New Roman" w:hAnsi="Times New Roman" w:cs="Times New Roman"/>
          <w:sz w:val="24"/>
          <w:szCs w:val="24"/>
          <w:lang w:val="en-US" w:eastAsia="de-DE"/>
        </w:rPr>
        <w:t>Typical small</w:t>
      </w:r>
      <w:r w:rsidRPr="00C44756">
        <w:rPr>
          <w:rFonts w:ascii="Times New Roman" w:eastAsia="Times New Roman" w:hAnsi="Times New Roman" w:cs="Times New Roman"/>
          <w:sz w:val="24"/>
          <w:szCs w:val="24"/>
          <w:lang w:val="en-US" w:eastAsia="de-DE"/>
        </w:rPr>
        <w:t>holder</w:t>
      </w:r>
      <w:r w:rsidR="00CE6D99" w:rsidRPr="00C44756">
        <w:rPr>
          <w:rFonts w:ascii="Times New Roman" w:eastAsia="Times New Roman" w:hAnsi="Times New Roman" w:cs="Times New Roman"/>
          <w:sz w:val="24"/>
          <w:szCs w:val="24"/>
          <w:lang w:val="en-US" w:eastAsia="de-DE"/>
        </w:rPr>
        <w:t xml:space="preserve"> agricultur</w:t>
      </w:r>
      <w:r w:rsidRPr="00C44756">
        <w:rPr>
          <w:rFonts w:ascii="Times New Roman" w:eastAsia="Times New Roman" w:hAnsi="Times New Roman" w:cs="Times New Roman"/>
          <w:sz w:val="24"/>
          <w:szCs w:val="24"/>
          <w:lang w:val="en-US" w:eastAsia="de-DE"/>
        </w:rPr>
        <w:t>al</w:t>
      </w:r>
      <w:r w:rsidR="00CE6D99" w:rsidRPr="00C44756">
        <w:rPr>
          <w:rFonts w:ascii="Times New Roman" w:eastAsia="Times New Roman" w:hAnsi="Times New Roman" w:cs="Times New Roman"/>
          <w:sz w:val="24"/>
          <w:szCs w:val="24"/>
          <w:lang w:val="en-US" w:eastAsia="de-DE"/>
        </w:rPr>
        <w:t xml:space="preserve"> landscape embedded in a forest matrix in the lowland </w:t>
      </w:r>
      <w:r w:rsidRPr="00C44756">
        <w:rPr>
          <w:rFonts w:ascii="Times New Roman" w:hAnsi="Times New Roman" w:cs="Times New Roman"/>
          <w:sz w:val="24"/>
          <w:szCs w:val="24"/>
        </w:rPr>
        <w:t>Ecuadorian Choc</w:t>
      </w:r>
      <w:bookmarkStart w:id="0" w:name="_Hlk148446915"/>
      <w:r w:rsidRPr="00C44756">
        <w:rPr>
          <w:rFonts w:ascii="Times New Roman" w:hAnsi="Times New Roman" w:cs="Times New Roman"/>
          <w:sz w:val="24"/>
          <w:szCs w:val="24"/>
        </w:rPr>
        <w:t>ó</w:t>
      </w:r>
      <w:bookmarkEnd w:id="0"/>
      <w:r w:rsidR="00CE6D99" w:rsidRPr="00C44756">
        <w:rPr>
          <w:rFonts w:ascii="Times New Roman" w:eastAsia="Times New Roman" w:hAnsi="Times New Roman" w:cs="Times New Roman"/>
          <w:sz w:val="24"/>
          <w:szCs w:val="24"/>
          <w:lang w:val="en-US" w:eastAsia="de-DE"/>
        </w:rPr>
        <w:t>.</w:t>
      </w:r>
    </w:p>
    <w:p w14:paraId="5B255B7B" w14:textId="77777777" w:rsidR="00CE6D99" w:rsidRPr="00C44756" w:rsidRDefault="00CE6D99" w:rsidP="00B83545">
      <w:pPr>
        <w:spacing w:before="100" w:beforeAutospacing="1" w:after="100" w:afterAutospacing="1" w:line="480" w:lineRule="auto"/>
        <w:jc w:val="both"/>
        <w:rPr>
          <w:rFonts w:ascii="Times New Roman" w:eastAsia="Times New Roman" w:hAnsi="Times New Roman" w:cs="Times New Roman"/>
          <w:sz w:val="24"/>
          <w:szCs w:val="24"/>
          <w:lang w:val="en-US" w:eastAsia="de-DE"/>
        </w:rPr>
      </w:pPr>
    </w:p>
    <w:p w14:paraId="43336875" w14:textId="77777777" w:rsidR="00CE6D99" w:rsidRPr="00C44756" w:rsidRDefault="00CE6D99" w:rsidP="00B83545">
      <w:pPr>
        <w:spacing w:before="100" w:beforeAutospacing="1" w:after="100" w:afterAutospacing="1" w:line="480" w:lineRule="auto"/>
        <w:jc w:val="both"/>
        <w:rPr>
          <w:rFonts w:ascii="Times New Roman" w:eastAsia="Times New Roman" w:hAnsi="Times New Roman" w:cs="Times New Roman"/>
          <w:sz w:val="24"/>
          <w:szCs w:val="24"/>
          <w:lang w:val="en-US" w:eastAsia="de-DE"/>
        </w:rPr>
      </w:pPr>
    </w:p>
    <w:p w14:paraId="175F6F0C" w14:textId="77777777" w:rsidR="00CE6D99" w:rsidRPr="00C44756" w:rsidRDefault="00CE6D99" w:rsidP="00B83545">
      <w:pPr>
        <w:spacing w:before="100" w:beforeAutospacing="1" w:after="100" w:afterAutospacing="1" w:line="480" w:lineRule="auto"/>
        <w:jc w:val="both"/>
        <w:rPr>
          <w:rFonts w:ascii="Times New Roman" w:eastAsia="Times New Roman" w:hAnsi="Times New Roman" w:cs="Times New Roman"/>
          <w:sz w:val="24"/>
          <w:szCs w:val="24"/>
          <w:lang w:val="en-US" w:eastAsia="de-DE"/>
        </w:rPr>
      </w:pPr>
    </w:p>
    <w:p w14:paraId="4333CE7D" w14:textId="77777777" w:rsidR="00CE6D99" w:rsidRPr="00C44756" w:rsidRDefault="00CE6D99" w:rsidP="00B83545">
      <w:pPr>
        <w:pStyle w:val="StandardWeb"/>
        <w:spacing w:line="480" w:lineRule="auto"/>
        <w:jc w:val="both"/>
      </w:pPr>
      <w:r w:rsidRPr="00C44756">
        <w:rPr>
          <w:noProof/>
        </w:rPr>
        <w:lastRenderedPageBreak/>
        <w:drawing>
          <wp:inline distT="0" distB="0" distL="0" distR="0" wp14:anchorId="2409E1F5" wp14:editId="08064267">
            <wp:extent cx="5778818" cy="3852546"/>
            <wp:effectExtent l="0" t="0" r="0" b="0"/>
            <wp:docPr id="3" name="Grafik 3" descr="F:\Bilder\Ecuador 2024\DSC035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Bilder\Ecuador 2024\DSC03535.JPG"/>
                    <pic:cNvPicPr>
                      <a:picLocks noChangeAspect="1" noChangeArrowheads="1"/>
                    </pic:cNvPicPr>
                  </pic:nvPicPr>
                  <pic:blipFill>
                    <a:blip r:embed="rId6" cstate="print">
                      <a:extLst>
                        <a:ext uri="{28A0092B-C50C-407E-A947-70E740481C1C}">
                          <a14:useLocalDpi xmlns:a14="http://schemas.microsoft.com/office/drawing/2010/main"/>
                        </a:ext>
                      </a:extLst>
                    </a:blip>
                    <a:srcRect/>
                    <a:stretch>
                      <a:fillRect/>
                    </a:stretch>
                  </pic:blipFill>
                  <pic:spPr bwMode="auto">
                    <a:xfrm>
                      <a:off x="0" y="0"/>
                      <a:ext cx="5794947" cy="3863299"/>
                    </a:xfrm>
                    <a:prstGeom prst="rect">
                      <a:avLst/>
                    </a:prstGeom>
                    <a:noFill/>
                    <a:ln>
                      <a:noFill/>
                    </a:ln>
                  </pic:spPr>
                </pic:pic>
              </a:graphicData>
            </a:graphic>
          </wp:inline>
        </w:drawing>
      </w:r>
    </w:p>
    <w:p w14:paraId="358574EA" w14:textId="3E67B2F5" w:rsidR="00C74B74" w:rsidRDefault="00C44756" w:rsidP="00C74B74">
      <w:pPr>
        <w:pStyle w:val="StandardWeb"/>
        <w:jc w:val="both"/>
        <w:rPr>
          <w:lang w:val="en-US"/>
        </w:rPr>
      </w:pPr>
      <w:r w:rsidRPr="00C44756">
        <w:rPr>
          <w:lang w:val="en-US"/>
        </w:rPr>
        <w:t>Fig. S3.</w:t>
      </w:r>
      <w:r w:rsidR="004B4AF5">
        <w:rPr>
          <w:lang w:val="en-US"/>
        </w:rPr>
        <w:t>3</w:t>
      </w:r>
      <w:r w:rsidRPr="00C44756">
        <w:rPr>
          <w:lang w:val="en-US"/>
        </w:rPr>
        <w:t>. P</w:t>
      </w:r>
      <w:r w:rsidR="00CE6D99" w:rsidRPr="00C44756">
        <w:rPr>
          <w:lang w:val="en-US"/>
        </w:rPr>
        <w:t xml:space="preserve">asture </w:t>
      </w:r>
      <w:r w:rsidRPr="00C44756">
        <w:rPr>
          <w:lang w:val="en-US"/>
        </w:rPr>
        <w:t xml:space="preserve">(right side of the picture) </w:t>
      </w:r>
      <w:r w:rsidR="00CE6D99" w:rsidRPr="00C44756">
        <w:rPr>
          <w:lang w:val="en-US"/>
        </w:rPr>
        <w:t xml:space="preserve">and cacao plantation </w:t>
      </w:r>
      <w:r w:rsidRPr="00C44756">
        <w:rPr>
          <w:lang w:val="en-US"/>
        </w:rPr>
        <w:t xml:space="preserve">(on the left side) in our study area in the Ecuadorian Chocó, </w:t>
      </w:r>
      <w:r w:rsidR="00CE6D99" w:rsidRPr="00C44756">
        <w:rPr>
          <w:lang w:val="en-US"/>
        </w:rPr>
        <w:t>both with numerous remnant trees</w:t>
      </w:r>
      <w:r w:rsidRPr="00C44756">
        <w:rPr>
          <w:lang w:val="en-US"/>
        </w:rPr>
        <w:t xml:space="preserve">. </w:t>
      </w:r>
    </w:p>
    <w:p w14:paraId="2B493BAB" w14:textId="77777777" w:rsidR="00C74B74" w:rsidRDefault="00C74B74">
      <w:pPr>
        <w:rPr>
          <w:rFonts w:ascii="Times New Roman" w:eastAsia="Times New Roman" w:hAnsi="Times New Roman" w:cs="Times New Roman"/>
          <w:kern w:val="0"/>
          <w:sz w:val="24"/>
          <w:szCs w:val="24"/>
          <w:lang w:val="en-US" w:eastAsia="de-DE"/>
          <w14:ligatures w14:val="none"/>
        </w:rPr>
      </w:pPr>
      <w:r>
        <w:rPr>
          <w:lang w:val="en-US"/>
        </w:rPr>
        <w:br w:type="page"/>
      </w:r>
    </w:p>
    <w:p w14:paraId="202BE420" w14:textId="77777777" w:rsidR="00C44756" w:rsidRPr="00C44756" w:rsidRDefault="00C44756" w:rsidP="00B83545">
      <w:pPr>
        <w:spacing w:before="100" w:beforeAutospacing="1" w:after="100" w:afterAutospacing="1" w:line="480" w:lineRule="auto"/>
        <w:jc w:val="both"/>
        <w:rPr>
          <w:rFonts w:ascii="Times New Roman" w:eastAsia="Times New Roman" w:hAnsi="Times New Roman" w:cs="Times New Roman"/>
          <w:sz w:val="24"/>
          <w:szCs w:val="24"/>
          <w:lang w:val="en-US" w:eastAsia="de-DE"/>
        </w:rPr>
      </w:pPr>
      <w:r w:rsidRPr="00C44756">
        <w:rPr>
          <w:rFonts w:ascii="Times New Roman" w:eastAsia="Times New Roman" w:hAnsi="Times New Roman" w:cs="Times New Roman"/>
          <w:noProof/>
          <w:sz w:val="24"/>
          <w:szCs w:val="24"/>
          <w:lang w:val="de-DE" w:eastAsia="de-DE"/>
        </w:rPr>
        <w:lastRenderedPageBreak/>
        <w:drawing>
          <wp:inline distT="0" distB="0" distL="0" distR="0" wp14:anchorId="4F3AFC2D" wp14:editId="59567112">
            <wp:extent cx="5564506" cy="3709672"/>
            <wp:effectExtent l="0" t="0" r="0" b="5080"/>
            <wp:docPr id="2" name="Bild 2" descr="F:\Bilder\Ecuador 2024\DSC034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Bilder\Ecuador 2024\DSC03490.JPG"/>
                    <pic:cNvPicPr>
                      <a:picLocks noChangeAspect="1" noChangeArrowheads="1"/>
                    </pic:cNvPicPr>
                  </pic:nvPicPr>
                  <pic:blipFill>
                    <a:blip r:embed="rId7" cstate="print">
                      <a:extLst>
                        <a:ext uri="{28A0092B-C50C-407E-A947-70E740481C1C}">
                          <a14:useLocalDpi xmlns:a14="http://schemas.microsoft.com/office/drawing/2010/main"/>
                        </a:ext>
                      </a:extLst>
                    </a:blip>
                    <a:srcRect/>
                    <a:stretch>
                      <a:fillRect/>
                    </a:stretch>
                  </pic:blipFill>
                  <pic:spPr bwMode="auto">
                    <a:xfrm>
                      <a:off x="0" y="0"/>
                      <a:ext cx="5585767" cy="3723846"/>
                    </a:xfrm>
                    <a:prstGeom prst="rect">
                      <a:avLst/>
                    </a:prstGeom>
                    <a:noFill/>
                    <a:ln>
                      <a:noFill/>
                    </a:ln>
                  </pic:spPr>
                </pic:pic>
              </a:graphicData>
            </a:graphic>
          </wp:inline>
        </w:drawing>
      </w:r>
    </w:p>
    <w:p w14:paraId="4EDB5439" w14:textId="3B329353" w:rsidR="00C44756" w:rsidRPr="00C44756" w:rsidRDefault="00C44756" w:rsidP="00C74B74">
      <w:pPr>
        <w:spacing w:before="100" w:beforeAutospacing="1" w:after="100" w:afterAutospacing="1" w:line="240" w:lineRule="auto"/>
        <w:jc w:val="both"/>
        <w:rPr>
          <w:rFonts w:ascii="Times New Roman" w:eastAsia="Times New Roman" w:hAnsi="Times New Roman" w:cs="Times New Roman"/>
          <w:sz w:val="24"/>
          <w:szCs w:val="24"/>
          <w:lang w:val="en-US" w:eastAsia="de-DE"/>
        </w:rPr>
      </w:pPr>
      <w:r w:rsidRPr="00C44756">
        <w:rPr>
          <w:rFonts w:ascii="Times New Roman" w:hAnsi="Times New Roman" w:cs="Times New Roman"/>
          <w:sz w:val="24"/>
          <w:szCs w:val="24"/>
          <w:lang w:val="en-US"/>
        </w:rPr>
        <w:t>Fig. S3.</w:t>
      </w:r>
      <w:r w:rsidR="004B4AF5">
        <w:rPr>
          <w:rFonts w:ascii="Times New Roman" w:hAnsi="Times New Roman" w:cs="Times New Roman"/>
          <w:sz w:val="24"/>
          <w:szCs w:val="24"/>
          <w:lang w:val="en-US"/>
        </w:rPr>
        <w:t>4</w:t>
      </w:r>
      <w:r w:rsidRPr="00C44756">
        <w:rPr>
          <w:rFonts w:ascii="Times New Roman" w:hAnsi="Times New Roman" w:cs="Times New Roman"/>
          <w:sz w:val="24"/>
          <w:szCs w:val="24"/>
          <w:lang w:val="en-US"/>
        </w:rPr>
        <w:t xml:space="preserve">.  </w:t>
      </w:r>
      <w:r w:rsidRPr="00C44756">
        <w:rPr>
          <w:rFonts w:ascii="Times New Roman" w:eastAsia="Times New Roman" w:hAnsi="Times New Roman" w:cs="Times New Roman"/>
          <w:sz w:val="24"/>
          <w:szCs w:val="24"/>
          <w:lang w:val="en-US" w:eastAsia="de-DE"/>
        </w:rPr>
        <w:t>Pasture regeneration with heterogenous vegetation due to remnant trees and different pathways of succession</w:t>
      </w:r>
      <w:r>
        <w:rPr>
          <w:rFonts w:ascii="Times New Roman" w:eastAsia="Times New Roman" w:hAnsi="Times New Roman" w:cs="Times New Roman"/>
          <w:sz w:val="24"/>
          <w:szCs w:val="24"/>
          <w:lang w:val="en-US" w:eastAsia="de-DE"/>
        </w:rPr>
        <w:t xml:space="preserve">. </w:t>
      </w:r>
    </w:p>
    <w:p w14:paraId="5F74248C" w14:textId="77777777" w:rsidR="00CE6D99" w:rsidRPr="00C44756" w:rsidRDefault="00CE6D99" w:rsidP="00B83545">
      <w:pPr>
        <w:pStyle w:val="StandardWeb"/>
        <w:spacing w:line="480" w:lineRule="auto"/>
        <w:jc w:val="both"/>
        <w:rPr>
          <w:lang w:val="en-US"/>
        </w:rPr>
      </w:pPr>
    </w:p>
    <w:p w14:paraId="05AAF630" w14:textId="42261A10" w:rsidR="00CE6D99" w:rsidRPr="00710BBC" w:rsidRDefault="00710BBC" w:rsidP="00B83545">
      <w:pPr>
        <w:spacing w:line="480" w:lineRule="auto"/>
        <w:jc w:val="both"/>
        <w:rPr>
          <w:rFonts w:ascii="Times New Roman" w:hAnsi="Times New Roman" w:cs="Times New Roman"/>
          <w:i/>
          <w:iCs/>
          <w:sz w:val="24"/>
          <w:szCs w:val="24"/>
        </w:rPr>
      </w:pPr>
      <w:r w:rsidRPr="00710BBC">
        <w:rPr>
          <w:rFonts w:ascii="Times New Roman" w:hAnsi="Times New Roman" w:cs="Times New Roman"/>
          <w:i/>
          <w:iCs/>
          <w:sz w:val="24"/>
          <w:szCs w:val="24"/>
        </w:rPr>
        <w:t>Bird t</w:t>
      </w:r>
      <w:r w:rsidR="004461BA" w:rsidRPr="00710BBC">
        <w:rPr>
          <w:rFonts w:ascii="Times New Roman" w:hAnsi="Times New Roman" w:cs="Times New Roman"/>
          <w:i/>
          <w:iCs/>
          <w:sz w:val="24"/>
          <w:szCs w:val="24"/>
        </w:rPr>
        <w:t>raits</w:t>
      </w:r>
    </w:p>
    <w:p w14:paraId="0985B4D0" w14:textId="77777777" w:rsidR="004461BA" w:rsidRPr="00C44756" w:rsidRDefault="004461BA" w:rsidP="00B83545">
      <w:pPr>
        <w:spacing w:line="480" w:lineRule="auto"/>
        <w:jc w:val="both"/>
        <w:rPr>
          <w:rFonts w:ascii="Times New Roman" w:hAnsi="Times New Roman" w:cs="Times New Roman"/>
          <w:sz w:val="24"/>
          <w:szCs w:val="24"/>
        </w:rPr>
      </w:pPr>
      <w:r w:rsidRPr="00C44756">
        <w:rPr>
          <w:rFonts w:ascii="Times New Roman" w:hAnsi="Times New Roman" w:cs="Times New Roman"/>
          <w:sz w:val="24"/>
          <w:szCs w:val="24"/>
        </w:rPr>
        <w:t xml:space="preserve">To control for correlations of morphological traits with body size, we fitted linear models for log-transformed values of beak length, beak width, tarsus length, wing length and tail length with log-transformed values for body mass as predictor and extracted the model residuals for further calculations </w:t>
      </w:r>
      <w:r w:rsidRPr="00C44756">
        <w:rPr>
          <w:rFonts w:ascii="Times New Roman" w:hAnsi="Times New Roman" w:cs="Times New Roman"/>
          <w:sz w:val="24"/>
          <w:szCs w:val="24"/>
        </w:rPr>
        <w:fldChar w:fldCharType="begin" w:fldLock="1"/>
      </w:r>
      <w:r w:rsidRPr="00C44756">
        <w:rPr>
          <w:rFonts w:ascii="Times New Roman" w:hAnsi="Times New Roman" w:cs="Times New Roman"/>
          <w:sz w:val="24"/>
          <w:szCs w:val="24"/>
        </w:rPr>
        <w:instrText>ADDIN CSL_CITATION {"citationItems":[{"id":"ITEM-1","itemData":{"DOI":"10.1111/1365-2656.13512","ISSN":"13652656","PMID":"33942309","abstract":"The extinction of species is a non-random process, and understanding why some species are more likely to go extinct than others is critical for conservation efforts. Functional trait-based approaches offer a promising tool to achieve this goal. In forests, deadwood-dependent (saproxylic) beetles comprise a major part of threatened species, but analyses of their extinction risk have been hindered by the availability of suitable morphological traits. To better understand the mechanisms underlying extinction in insects, we investigated the relationships between morphological features and the extinction risk of saproxylic beetles. Specifically, we hypothesised that species darker in colour, with a larger and rounder body, a lower mobility, lower sensory perception and more robust mandibles are at higher risk. We first developed a protocol for morphological trait measurements and present a database of 37 traits for 1,157 European saproxylic beetle species. Based on 13 selected, independent traits characterising aspects of colour, body shape, locomotion, sensory perception and foraging, we used a proportional-odds multiple linear mixed-effects model to model the German Red List categories of 744 species as an ordinal index of extinction risk. Six out of 13 traits correlated significantly with extinction risk. Larger species as well as species with a broad and round body had a higher extinction risk than small, slim and flattened species. Species with short wings had a higher extinction risk than those with long wings. On the contrary, extinction risk increased with decreasing wing load and with higher mandibular aspect ratio (shorter and more robust mandibles). Our study provides new insights into how morphological traits, beyond the widely used body size, determine the extinction risk of saproxylic beetles. Moreover, our approach shows that the morphological characteristics of beetles can be comprehensively represented by a selection of 13 traits. We recommend them as a starting point for functional analyses in the rapidly growing field of ecological and conservation studies of deadwood.","author":[{"dropping-particle":"","family":"Hagge","given":"Jonas","non-dropping-particle":"","parse-names":false,"suffix":""},{"dropping-particle":"","family":"Müller","given":"Jörg","non-dropping-particle":"","parse-names":false,"suffix":""},{"dropping-particle":"","family":"Birkemoe","given":"Tone","non-dropping-particle":"","parse-names":false,"suffix":""},{"dropping-particle":"","family":"Buse","given":"Jörn","non-dropping-particle":"","parse-names":false,"suffix":""},{"dropping-particle":"","family":"Christensen","given":"Rune Haubo Bojesen","non-dropping-particle":"","parse-names":false,"suffix":""},{"dropping-particle":"","family":"Gossner","given":"Martin M.","non-dropping-particle":"","parse-names":false,"suffix":""},{"dropping-particle":"","family":"Gruppe","given":"Axel","non-dropping-particle":"","parse-names":false,"suffix":""},{"dropping-particle":"","family":"Heibl","given":"Christoph","non-dropping-particle":"","parse-names":false,"suffix":""},{"dropping-particle":"","family":"Jarzabek-Müller","given":"Andrea","non-dropping-particle":"","parse-names":false,"suffix":""},{"dropping-particle":"","family":"Seibold","given":"Sebastian","non-dropping-particle":"","parse-names":false,"suffix":""},{"dropping-particle":"","family":"Siitonen","given":"Juha","non-dropping-particle":"","parse-names":false,"suffix":""},{"dropping-particle":"","family":"Soutinho","given":"João Gonçalo","non-dropping-particle":"","parse-names":false,"suffix":""},{"dropping-particle":"","family":"Sverdrup-Thygeson","given":"Anne","non-dropping-particle":"","parse-names":false,"suffix":""},{"dropping-particle":"","family":"Thorn","given":"Simon","non-dropping-particle":"","parse-names":false,"suffix":""},{"dropping-particle":"","family":"Drag","given":"Lukas","non-dropping-particle":"","parse-names":false,"suffix":""}],"container-title":"Journal of Animal Ecology","id":"ITEM-1","issue":"8","issued":{"date-parts":[["2021"]]},"page":"1934-1947","title":"What does a threatened saproxylic beetle look like? Modelling extinction risk using a new morphological trait database","type":"article-journal","volume":"90"},"uris":["http://www.mendeley.com/documents/?uuid=b107d858-1039-426d-8923-1c644ea151b9"]}],"mendeley":{"formattedCitation":"(Hagge et al., 2021)","plainTextFormattedCitation":"(Hagge et al., 2021)","previouslyFormattedCitation":"(Hagge et al., 2021)"},"properties":{"noteIndex":0},"schema":"https://github.com/citation-style-language/schema/raw/master/csl-citation.json"}</w:instrText>
      </w:r>
      <w:r w:rsidRPr="00C44756">
        <w:rPr>
          <w:rFonts w:ascii="Times New Roman" w:hAnsi="Times New Roman" w:cs="Times New Roman"/>
          <w:sz w:val="24"/>
          <w:szCs w:val="24"/>
        </w:rPr>
        <w:fldChar w:fldCharType="separate"/>
      </w:r>
      <w:r w:rsidRPr="00C44756">
        <w:rPr>
          <w:rFonts w:ascii="Times New Roman" w:hAnsi="Times New Roman" w:cs="Times New Roman"/>
          <w:noProof/>
          <w:sz w:val="24"/>
          <w:szCs w:val="24"/>
        </w:rPr>
        <w:t>(Hagge et al., 2021)</w:t>
      </w:r>
      <w:r w:rsidRPr="00C44756">
        <w:rPr>
          <w:rFonts w:ascii="Times New Roman" w:hAnsi="Times New Roman" w:cs="Times New Roman"/>
          <w:sz w:val="24"/>
          <w:szCs w:val="24"/>
        </w:rPr>
        <w:fldChar w:fldCharType="end"/>
      </w:r>
      <w:r w:rsidRPr="00C44756">
        <w:rPr>
          <w:rFonts w:ascii="Times New Roman" w:hAnsi="Times New Roman" w:cs="Times New Roman"/>
          <w:sz w:val="24"/>
          <w:szCs w:val="24"/>
        </w:rPr>
        <w:t xml:space="preserve">. As an additional morphological trait we included hand wing index, which is a standardized measure of wing elongation independent of body size </w:t>
      </w:r>
      <w:r w:rsidRPr="00C44756">
        <w:rPr>
          <w:rFonts w:ascii="Times New Roman" w:hAnsi="Times New Roman" w:cs="Times New Roman"/>
          <w:sz w:val="24"/>
          <w:szCs w:val="24"/>
        </w:rPr>
        <w:fldChar w:fldCharType="begin" w:fldLock="1"/>
      </w:r>
      <w:r w:rsidRPr="00C44756">
        <w:rPr>
          <w:rFonts w:ascii="Times New Roman" w:hAnsi="Times New Roman" w:cs="Times New Roman"/>
          <w:sz w:val="24"/>
          <w:szCs w:val="24"/>
        </w:rPr>
        <w:instrText>ADDIN CSL_CITATION {"citationItems":[{"id":"ITEM-1","itemData":{"DOI":"10.1038/s41467-020-16313-6","ISSN":"20411723","PMID":"32424113","abstract":"An organism’s ability to disperse influences many fundamental processes, from speciation and geographical range expansion to community assembly. However, the patterns and underlying drivers of variation in dispersal across species remain unclear, partly because standardised estimates of dispersal ability are rarely available. Here we present a global dataset of avian hand-wing index (HWI), an estimate of wing shape widely adopted as a proxy for dispersal ability in birds. We show that HWI is correlated with geography and ecology across 10,338 (&gt;99%) species, increasing at higher latitudes and with migration, and decreasing with territoriality. After controlling for these effects, the strongest predictor of HWI is temperature variability (seasonality), with secondary effects of diet and habitat type. Finally, we also show that HWI is a strong predictor of geographical range size. Our analyses reveal a prominent latitudinal gradient in HWI shaped by a combination of environmental and behavioural factors, and also provide a global index of avian dispersal ability for use in community ecology, macroecology, and macroevolution.","author":[{"dropping-particle":"","family":"Sheard","given":"Catherine","non-dropping-particle":"","parse-names":false,"suffix":""},{"dropping-particle":"","family":"Neate-Clegg","given":"Montague H.C.","non-dropping-particle":"","parse-names":false,"suffix":""},{"dropping-particle":"","family":"Alioravainen","given":"Nico","non-dropping-particle":"","parse-names":false,"suffix":""},{"dropping-particle":"","family":"Jones","given":"Samuel E.I.","non-dropping-particle":"","parse-names":false,"suffix":""},{"dropping-particle":"","family":"Vincent","given":"Claire","non-dropping-particle":"","parse-names":false,"suffix":""},{"dropping-particle":"","family":"MacGregor","given":"Hannah E.A.","non-dropping-particle":"","parse-names":false,"suffix":""},{"dropping-particle":"","family":"Bregman","given":"Tom P.","non-dropping-particle":"","parse-names":false,"suffix":""},{"dropping-particle":"","family":"Claramunt","given":"Santiago","non-dropping-particle":"","parse-names":false,"suffix":""},{"dropping-particle":"","family":"Tobias","given":"Joseph A.","non-dropping-particle":"","parse-names":false,"suffix":""}],"container-title":"Nature Communications","id":"ITEM-1","issue":"1","issued":{"date-parts":[["2020"]]},"publisher":"Springer US","title":"Ecological drivers of global gradients in avian dispersal inferred from wing morphology","type":"article-journal","volume":"11"},"uris":["http://www.mendeley.com/documents/?uuid=78895946-1156-4a91-b6ee-81d46f83c328"]}],"mendeley":{"formattedCitation":"(Sheard et al., 2020)","plainTextFormattedCitation":"(Sheard et al., 2020)","previouslyFormattedCitation":"(Sheard et al., 2020)"},"properties":{"noteIndex":0},"schema":"https://github.com/citation-style-language/schema/raw/master/csl-citation.json"}</w:instrText>
      </w:r>
      <w:r w:rsidRPr="00C44756">
        <w:rPr>
          <w:rFonts w:ascii="Times New Roman" w:hAnsi="Times New Roman" w:cs="Times New Roman"/>
          <w:sz w:val="24"/>
          <w:szCs w:val="24"/>
        </w:rPr>
        <w:fldChar w:fldCharType="separate"/>
      </w:r>
      <w:r w:rsidRPr="00C44756">
        <w:rPr>
          <w:rFonts w:ascii="Times New Roman" w:hAnsi="Times New Roman" w:cs="Times New Roman"/>
          <w:noProof/>
          <w:sz w:val="24"/>
          <w:szCs w:val="24"/>
        </w:rPr>
        <w:t>(Sheard et al., 2020)</w:t>
      </w:r>
      <w:r w:rsidRPr="00C44756">
        <w:rPr>
          <w:rFonts w:ascii="Times New Roman" w:hAnsi="Times New Roman" w:cs="Times New Roman"/>
          <w:sz w:val="24"/>
          <w:szCs w:val="24"/>
        </w:rPr>
        <w:fldChar w:fldCharType="end"/>
      </w:r>
      <w:r w:rsidRPr="00C44756">
        <w:rPr>
          <w:rFonts w:ascii="Times New Roman" w:hAnsi="Times New Roman" w:cs="Times New Roman"/>
          <w:sz w:val="24"/>
          <w:szCs w:val="24"/>
        </w:rPr>
        <w:t xml:space="preserve">. The selected traits have been shown to reflect functional differences in avian foraging and locomotion </w:t>
      </w:r>
      <w:r w:rsidRPr="00C44756">
        <w:rPr>
          <w:rFonts w:ascii="Times New Roman" w:hAnsi="Times New Roman" w:cs="Times New Roman"/>
          <w:sz w:val="24"/>
          <w:szCs w:val="24"/>
        </w:rPr>
        <w:fldChar w:fldCharType="begin" w:fldLock="1"/>
      </w:r>
      <w:r w:rsidRPr="00C44756">
        <w:rPr>
          <w:rFonts w:ascii="Times New Roman" w:hAnsi="Times New Roman" w:cs="Times New Roman"/>
          <w:sz w:val="24"/>
          <w:szCs w:val="24"/>
        </w:rPr>
        <w:instrText>ADDIN CSL_CITATION {"citationItems":[{"id":"ITEM-1","itemData":{"DOI":"10.1111/ele.13898","ISSN":"14610248","PMID":"35199922","abstract":"Functional traits offer a rich quantitative framework for developing and testing theories in evolutionary biology, ecology and ecosystem science. However, the potential of functional traits to drive theoretical advances and refine models of global change can only be fully realised when species-level information is complete. Here we present the AVONET dataset containing comprehensive functional trait data for all birds, including six ecological variables, 11 continuous morphological traits, and information on range size and location. Raw morphological measurements are presented from 90,020 individuals of 11,009 extant bird species sampled from 181 countries. These data are also summarised as species averages in three taxonomic formats, allowing integration with a global phylogeny, geographical range maps, IUCN Red List data and the eBird citizen science database. The AVONET dataset provides the most detailed picture of continuous trait variation for any major radiation of organisms, offering a global template for testing hypotheses and exploring the evolutionary origins, structure and functioning of biodiversity.","author":[{"dropping-particle":"","family":"Tobias","given":"Joseph A.","non-dropping-particle":"","parse-names":false,"suffix":""},{"dropping-particle":"","family":"Sheard","given":"Catherine","non-dropping-particle":"","parse-names":false,"suffix":""},{"dropping-particle":"","family":"Pigot","given":"Alex L.","non-dropping-particle":"","parse-names":false,"suffix":""},{"dropping-particle":"","family":"Devenish","given":"Adam J.M.","non-dropping-particle":"","parse-names":false,"suffix":""},{"dropping-particle":"","family":"Yang","given":"Jingyi","non-dropping-particle":"","parse-names":false,"suffix":""},{"dropping-particle":"","family":"Sayol","given":"Ferran","non-dropping-particle":"","parse-names":false,"suffix":""},{"dropping-particle":"","family":"Neate-Clegg","given":"Montague H.C.","non-dropping-particle":"","parse-names":false,"suffix":""},{"dropping-particle":"","family":"Alioravainen","given":"Nico","non-dropping-particle":"","parse-names":false,"suffix":""},{"dropping-particle":"","family":"Weeks","given":"Thomas L.","non-dropping-particle":"","parse-names":false,"suffix":""},{"dropping-particle":"","family":"Barber","given":"Robert A.","non-dropping-particle":"","parse-names":false,"suffix":""},{"dropping-particle":"","family":"Walkden","given":"Patrick A.","non-dropping-particle":"","parse-names":false,"suffix":""},{"dropping-particle":"","family":"MacGregor","given":"Hannah E.A.","non-dropping-particle":"","parse-names":false,"suffix":""},{"dropping-particle":"","family":"Jones","given":"Samuel E.I.","non-dropping-particle":"","parse-names":false,"suffix":""},{"dropping-particle":"","family":"Vincent","given":"Claire","non-dropping-particle":"","parse-names":false,"suffix":""},{"dropping-particle":"","family":"Phillips","given":"Anna G.","non-dropping-particle":"","parse-names":false,"suffix":""},{"dropping-particle":"","family":"Marples","given":"Nicola M.","non-dropping-particle":"","parse-names":false,"suffix":""},{"dropping-particle":"","family":"Montaño-Centellas","given":"Flavia A.","non-dropping-particle":"","parse-names":false,"suffix":""},{"dropping-particle":"","family":"Leandro-Silva","given":"Victor","non-dropping-particle":"","parse-names":false,"suffix":""},{"dropping-particle":"","family":"Claramunt","given":"Santiago","non-dropping-particle":"","parse-names":false,"suffix":""},{"dropping-particle":"","family":"Darski","given":"Bianca","non-dropping-particle":"","parse-names":false,"suffix":""},{"dropping-particle":"","family":"Freeman","given":"Benjamin G.","non-dropping-particle":"","parse-names":false,"suffix":""},{"dropping-particle":"","family":"Bregman","given":"Tom P.","non-dropping-particle":"","parse-names":false,"suffix":""},{"dropping-particle":"","family":"Cooney","given":"Christopher R.","non-dropping-particle":"","parse-names":false,"suffix":""},{"dropping-particle":"","family":"Hughes","given":"Emma C.","non-dropping-particle":"","parse-names":false,"suffix":""},{"dropping-particle":"","family":"Capp","given":"Elliot J.R.","non-dropping-particle":"","parse-names":false,"suffix":""},{"dropping-particle":"","family":"Varley","given":"Zoë K.","non-dropping-particle":"","parse-names":false,"suffix":""},{"dropping-particle":"","family":"Friedman","given":"Nicholas R.","non-dropping-particle":"","parse-names":false,"suffix":""},{"dropping-particle":"","family":"Korntheuer","given":"Heiko","non-dropping-particle":"","parse-names":false,"suffix":""},{"dropping-particle":"","family":"Corrales-Vargas","given":"Andrea","non-dropping-particle":"","parse-names":false,"suffix":""},{"dropping-particle":"","family":"Trisos","given":"Christopher H.","non-dropping-particle":"","parse-names":false,"suffix":""},{"dropping-particle":"","family":"Weeks","given":"Brian C.","non-dropping-particle":"","parse-names":false,"suffix":""},{"dropping-particle":"","family":"Hanz","given":"Dagmar M.","non-dropping-particle":"","parse-names":false,"suffix":""},{"dropping-particle":"","family":"Töpfer","given":"Till","non-dropping-particle":"","parse-names":false,"suffix":""},{"dropping-particle":"","family":"Bravo","given":"Gustavo A.","non-dropping-particle":"","parse-names":false,"suffix":""},{"dropping-particle":"","family":"Remeš","given":"Vladimír","non-dropping-particle":"","parse-names":false,"suffix":""},{"dropping-particle":"","family":"Nowak","given":"Larissa","non-dropping-particle":"","parse-names":false,"suffix":""},{"dropping-particle":"","family":"Carneiro","given":"Lincoln S.","non-dropping-particle":"","parse-names":false,"suffix":""},{"dropping-particle":"","family":"Moncada R.","given":"Amilkar J.","non-dropping-particle":"","parse-names":false,"suffix":""},{"dropping-particle":"","family":"Matysioková","given":"Beata","non-dropping-particle":"","parse-names":false,"suffix":""},{"dropping-particle":"","family":"Baldassarre","given":"Daniel T.","non-dropping-particle":"","parse-names":false,"suffix":""},{"dropping-particle":"","family":"Martínez-Salinas","given":"Alejandra","non-dropping-particle":"","parse-names":false,"suffix":""},{"dropping-particle":"","family":"Wolfe","given":"Jared D.","non-dropping-particle":"","parse-names":false,"suffix":""},{"dropping-particle":"","family":"Chapman","given":"Philip M.","non-dropping-particle":"","parse-names":false,"suffix":""},{"dropping-particle":"","family":"Daly","given":"Benjamin G.","non-dropping-particle":"","parse-names":false,"suffix":""},{"dropping-particle":"","family":"Sorensen","given":"Marjorie C.","non-dropping-particle":"","parse-names":false,"suffix":""},{"dropping-particle":"","family":"Neu","given":"Alexander","non-dropping-particle":"","parse-names":false,"suffix":""},{"dropping-particle":"","family":"Ford","given":"Michael A.","non-dropping-particle":"","parse-names":false,"suffix":""},{"dropping-particle":"","family":"Mayhew","given":"Rebekah J.","non-dropping-particle":"","parse-names":false,"suffix":""},{"dropping-particle":"","family":"Fabio Silveira","given":"Luis","non-dropping-particle":"","parse-names":false,"suffix":""},{"dropping-particle":"","family":"Kelly","given":"David J.","non-dropping-particle":"","parse-names":false,"suffix":""},{"dropping-particle":"","family":"Annorbah","given":"Nathaniel N.D.","non-dropping-particle":"","parse-names":false,"suffix":""},{"dropping-particle":"","family":"Pollock","given":"Henry S.","non-dropping-particle":"","parse-names":false,"suffix":""},{"dropping-particle":"","family":"Grabowska-Zhang","given":"Ada M.","non-dropping-particle":"","parse-names":false,"suffix":""},{"dropping-particle":"","family":"McEntee","given":"Jay P.","non-dropping-particle":"","parse-names":false,"suffix":""},{"dropping-particle":"","family":"Carlos T. Gonzalez","given":"Juan","non-dropping-particle":"","parse-names":false,"suffix":""},{"dropping-particle":"","family":"Meneses","given":"Camila G.","non-dropping-particle":"","parse-names":false,"suffix":""},{"dropping-particle":"","family":"Muñoz","given":"Marcia C.","non-dropping-particle":"","parse-names":false,"suffix":""},{"dropping-particle":"","family":"Powell","given":"Luke L.","non-dropping-particle":"","parse-names":false,"suffix":""},{"dropping-particle":"","family":"Jamie","given":"Gabriel A.","non-dropping-particle":"","parse-names":false,"suffix":""},{"dropping-particle":"","family":"Matthews","given":"Thomas J.","non-dropping-particle":"","parse-names":false,"suffix":""},{"dropping-particle":"","family":"Johnson","given":"Oscar","non-dropping-particle":"","parse-names":false,"suffix":""},{"dropping-particle":"","family":"Brito","given":"Guilherme R.R.","non-dropping-particle":"","parse-names":false,"suffix":""},{"dropping-particle":"","family":"Zyskowski","given":"Kristof","non-dropping-particle":"","parse-names":false,"suffix":""},{"dropping-particle":"","family":"Crates","given":"Ross","non-dropping-particle":"","parse-names":false,"suffix":""},{"dropping-particle":"","family":"Harvey","given":"Michael G.","non-dropping-particle":"","parse-names":false,"suffix":""},{"dropping-particle":"","family":"Jurado Zevallos","given":"Maura","non-dropping-particle":"","parse-names":false,"suffix":""},{"dropping-particle":"","family":"Hosner","given":"Peter A.","non-dropping-particle":"","parse-names":false,"suffix":""},{"dropping-particle":"","family":"Bradfer-Lawrence","given":"Tom","non-dropping-particle":"","parse-names":false,"suffix":""},{"dropping-particle":"","family":"Maley","given":"James M.","non-dropping-particle":"","parse-names":false,"suffix":""},{"dropping-particle":"","family":"Stiles","given":"F. Gary","non-dropping-particle":"","parse-names":false,"suffix":""},{"dropping-particle":"","family":"Lima","given":"Hevana S.","non-dropping-particle":"","parse-names":false,"suffix":""},{"dropping-particle":"","family":"Provost","given":"Kaiya L.","non-dropping-particle":"","parse-names":false,"suffix":""},{"dropping-particle":"","family":"Chibesa","given":"Moses","non-dropping-particle":"","parse-names":false,"suffix":""},{"dropping-particle":"","family":"Mashao","given":"Mmatjie","non-dropping-particle":"","parse-names":false,"suffix":""},{"dropping-particle":"","family":"Howard","given":"Jeffrey T.","non-dropping-particle":"","parse-names":false,"suffix":""},{"dropping-particle":"","family":"Mlamba","given":"Edson","non-dropping-particle":"","parse-names":false,"suffix":""},{"dropping-particle":"","family":"Chua","given":"Marcus A.H.","non-dropping-particle":"","parse-names":false,"suffix":""},{"dropping-particle":"","family":"Li","given":"Bicheng","non-dropping-particle":"","parse-names":false,"suffix":""},{"dropping-particle":"","family":"Gómez","given":"M. Isabel","non-dropping-particle":"","parse-names":false,"suffix":""},{"dropping-particle":"","family":"García","given":"Natalia C.","non-dropping-particle":"","parse-names":false,"suffix":""},{"dropping-particle":"","family":"Päckert","given":"Martin","non-dropping-particle":"","parse-names":false,"suffix":""},{"dropping-particle":"","family":"Fuchs","given":"Jérôme","non-dropping-particle":"","parse-names":false,"suffix":""},{"dropping-particle":"","family":"Ali","given":"Jarome R.","non-dropping-particle":"","parse-names":false,"suffix":""},{"dropping-particle":"","family":"Derryberry","given":"Elizabeth P.","non-dropping-particle":"","parse-names":false,"suffix":""},{"dropping-particle":"","family":"Carlson","given":"Monica L.","non-dropping-particle":"","parse-names":false,"suffix":""},{"dropping-particle":"","family":"Urriza","given":"Rolly C.","non-dropping-particle":"","parse-names":false,"suffix":""},{"dropping-particle":"","family":"Brzeski","given":"Kristin E.","non-dropping-particle":"","parse-names":false,"suffix":""},{"dropping-particle":"","family":"Prawiradilaga","given":"Dewi M.","non-dropping-particle":"","parse-names":false,"suffix":""},{"dropping-particle":"","family":"Rayner","given":"Matt J.","non-dropping-particle":"","parse-names":false,"suffix":""},{"dropping-particle":"","family":"Miller","given":"Eliot T.","non-dropping-particle":"","parse-names":false,"suffix":""},{"dropping-particle":"","family":"Bowie","given":"Rauri C.K.","non-dropping-particle":"","parse-names":false,"suffix":""},{"dropping-particle":"","family":"Lafontaine","given":"René Marie","non-dropping-particle":"","parse-names":false,"suffix":""},{"dropping-particle":"","family":"Scofield","given":"R. Paul","non-dropping-particle":"","parse-names":false,"suffix":""},{"dropping-particle":"","family":"Lou","given":"Yingqiang","non-dropping-particle":"","parse-names":false,"suffix":""},{"dropping-particle":"","family":"Somarathna","given":"Lankani","non-dropping-particle":"","parse-names":false,"suffix":""},{"dropping-particle":"","family":"Lepage","given":"Denis","non-dropping-particle":"","parse-names":false,"suffix":""},{"dropping-particle":"","family":"Illif","given":"Marshall","non-dropping-particle":"","parse-names":false,"suffix":""},{"dropping-particle":"","family":"Neuschulz","given":"Eike Lena","non-dropping-particle":"","parse-names":false,"suffix":""},{"dropping-particle":"","family":"Templin","given":"Mathias","non-dropping-particle":"","parse-names":false,"suffix":""},{"dropping-particle":"","family":"Dehling","given":"D. Matthias","non-dropping-particle":"","parse-names":false,"suffix":""},{"dropping-particle":"","family":"Cooper","given":"Jacob C.","non-dropping-particle":"","parse-names":false,"suffix":""},{"dropping-particle":"","family":"Pauwels","given":"Olivier S.G.","non-dropping-particle":"","parse-names":false,"suffix":""},{"dropping-particle":"","family":"Analuddin","given":"Kangkuso","non-dropping-particle":"","parse-names":false,"suffix":""},{"dropping-particle":"","family":"Fjeldså","given":"Jon","non-dropping-particle":"","parse-names":false,"suffix":""},{"dropping-particle":"","family":"Seddon","given":"Nathalie","non-dropping-particle":"","parse-names":false,"suffix":""},{"dropping-particle":"","family":"Sweet","given":"Paul R.","non-dropping-particle":"","parse-names":false,"suffix":""},{"dropping-particle":"","family":"DeClerck","given":"Fabrice A.J.","non-dropping-particle":"","parse-names":false,"suffix":""},{"dropping-particle":"","family":"Naka","given":"Luciano N.","non-dropping-particle":"","parse-names":false,"suffix":""},{"dropping-particle":"","family":"Brawn","given":"Jeffrey D.","non-dropping-particle":"","parse-names":false,"suffix":""},{"dropping-particle":"","family":"Aleixo","given":"Alexandre","non-dropping-particle":"","parse-names":false,"suffix":""},{"dropping-particle":"","family":"Böhning-Gaese","given":"Katrin","non-dropping-particle":"","parse-names":false,"suffix":""},{"dropping-particle":"","family":"Rahbek","given":"Carsten","non-dropping-particle":"","parse-names":false,"suffix":""},{"dropping-particle":"","family":"Fritz","given":"Susanne A.","non-dropping-particle":"","parse-names":false,"suffix":""},{"dropping-particle":"","family":"Thomas","given":"Gavin H.","non-dropping-particle":"","parse-names":false,"suffix":""},{"dropping-particle":"","family":"Schleuning","given":"Matthias","non-dropping-particle":"","parse-names":false,"suffix":""}],"container-title":"Ecology Letters","id":"ITEM-1","issue":"3","issued":{"date-parts":[["2022"]]},"page":"581-597","title":"AVONET: morphological, ecological and geographical data for all birds","type":"article-journal","volume":"25"},"uris":["http://www.mendeley.com/documents/?uuid=f8cf2b9f-d9cd-44b2-b754-b2ea2865b2a5"]}],"mendeley":{"formattedCitation":"(Tobias et al., 2022)","plainTextFormattedCitation":"(Tobias et al., 2022)","previouslyFormattedCitation":"(Tobias et al., 2022)"},"properties":{"noteIndex":0},"schema":"https://github.com/citation-style-language/schema/raw/master/csl-citation.json"}</w:instrText>
      </w:r>
      <w:r w:rsidRPr="00C44756">
        <w:rPr>
          <w:rFonts w:ascii="Times New Roman" w:hAnsi="Times New Roman" w:cs="Times New Roman"/>
          <w:sz w:val="24"/>
          <w:szCs w:val="24"/>
        </w:rPr>
        <w:fldChar w:fldCharType="separate"/>
      </w:r>
      <w:r w:rsidRPr="00C44756">
        <w:rPr>
          <w:rFonts w:ascii="Times New Roman" w:hAnsi="Times New Roman" w:cs="Times New Roman"/>
          <w:noProof/>
          <w:sz w:val="24"/>
          <w:szCs w:val="24"/>
        </w:rPr>
        <w:t>(Tobias et al., 2022)</w:t>
      </w:r>
      <w:r w:rsidRPr="00C44756">
        <w:rPr>
          <w:rFonts w:ascii="Times New Roman" w:hAnsi="Times New Roman" w:cs="Times New Roman"/>
          <w:sz w:val="24"/>
          <w:szCs w:val="24"/>
        </w:rPr>
        <w:fldChar w:fldCharType="end"/>
      </w:r>
      <w:r w:rsidRPr="00C44756">
        <w:rPr>
          <w:rFonts w:ascii="Times New Roman" w:hAnsi="Times New Roman" w:cs="Times New Roman"/>
          <w:sz w:val="24"/>
          <w:szCs w:val="24"/>
        </w:rPr>
        <w:t>. For instance, insectivorous species are characterized by relatively longer beaks than fruit- or seed-feeding species and birds foraging in the understorey are characterized by more rounded wings than canopy species.</w:t>
      </w:r>
      <w:r w:rsidRPr="00C44756" w:rsidDel="00003218">
        <w:rPr>
          <w:rFonts w:ascii="Times New Roman" w:hAnsi="Times New Roman" w:cs="Times New Roman"/>
          <w:sz w:val="24"/>
          <w:szCs w:val="24"/>
        </w:rPr>
        <w:t xml:space="preserve"> </w:t>
      </w:r>
      <w:r w:rsidRPr="00C44756">
        <w:rPr>
          <w:rFonts w:ascii="Times New Roman" w:hAnsi="Times New Roman" w:cs="Times New Roman"/>
          <w:sz w:val="24"/>
          <w:szCs w:val="24"/>
        </w:rPr>
        <w:t xml:space="preserve">As ecological </w:t>
      </w:r>
      <w:r w:rsidRPr="00C44756">
        <w:rPr>
          <w:rFonts w:ascii="Times New Roman" w:hAnsi="Times New Roman" w:cs="Times New Roman"/>
          <w:sz w:val="24"/>
          <w:szCs w:val="24"/>
        </w:rPr>
        <w:lastRenderedPageBreak/>
        <w:t xml:space="preserve">traits we selected habitat density, migratory status, trophic niche and primary lifestyle. </w:t>
      </w:r>
      <w:bookmarkStart w:id="1" w:name="_Hlk162341724"/>
      <w:r w:rsidRPr="00C44756">
        <w:rPr>
          <w:rFonts w:ascii="Times New Roman" w:hAnsi="Times New Roman" w:cs="Times New Roman"/>
          <w:sz w:val="24"/>
          <w:szCs w:val="24"/>
        </w:rPr>
        <w:t xml:space="preserve">A table with all traits and species can be found in Supplement 2. </w:t>
      </w:r>
    </w:p>
    <w:bookmarkEnd w:id="1"/>
    <w:p w14:paraId="38579C46" w14:textId="77777777" w:rsidR="00ED6819" w:rsidRDefault="00ED6819" w:rsidP="00B83545">
      <w:pPr>
        <w:spacing w:line="480" w:lineRule="auto"/>
        <w:jc w:val="both"/>
        <w:rPr>
          <w:rFonts w:ascii="Times New Roman" w:hAnsi="Times New Roman" w:cs="Times New Roman"/>
          <w:i/>
          <w:iCs/>
          <w:sz w:val="24"/>
          <w:szCs w:val="24"/>
        </w:rPr>
      </w:pPr>
    </w:p>
    <w:p w14:paraId="2DD2C2BE" w14:textId="2593F62B" w:rsidR="004461BA" w:rsidRPr="000E0ABF" w:rsidRDefault="000E0ABF" w:rsidP="00B83545">
      <w:pPr>
        <w:spacing w:line="480" w:lineRule="auto"/>
        <w:jc w:val="both"/>
        <w:rPr>
          <w:rFonts w:ascii="Times New Roman" w:hAnsi="Times New Roman" w:cs="Times New Roman"/>
          <w:i/>
          <w:iCs/>
          <w:sz w:val="24"/>
          <w:szCs w:val="24"/>
        </w:rPr>
      </w:pPr>
      <w:r w:rsidRPr="000E0ABF">
        <w:rPr>
          <w:rFonts w:ascii="Times New Roman" w:hAnsi="Times New Roman" w:cs="Times New Roman"/>
          <w:i/>
          <w:iCs/>
          <w:sz w:val="24"/>
          <w:szCs w:val="24"/>
        </w:rPr>
        <w:t>Bird recordings</w:t>
      </w:r>
    </w:p>
    <w:p w14:paraId="4730CD89" w14:textId="77777777" w:rsidR="000E0ABF" w:rsidRPr="00057ADA" w:rsidRDefault="000E0ABF" w:rsidP="00B83545">
      <w:pPr>
        <w:spacing w:line="480" w:lineRule="auto"/>
        <w:jc w:val="both"/>
        <w:rPr>
          <w:rFonts w:ascii="Times New Roman" w:hAnsi="Times New Roman" w:cs="Times New Roman"/>
          <w:sz w:val="24"/>
          <w:szCs w:val="24"/>
        </w:rPr>
      </w:pPr>
      <w:r w:rsidRPr="00057ADA">
        <w:rPr>
          <w:rFonts w:ascii="Times New Roman" w:hAnsi="Times New Roman" w:cs="Times New Roman"/>
          <w:sz w:val="24"/>
          <w:szCs w:val="24"/>
        </w:rPr>
        <w:t>Within our small-scale study area, active pastures and cacao plantations included remnant trees and small groups of trees, but forest cover within a radius</w:t>
      </w:r>
      <w:r>
        <w:rPr>
          <w:rFonts w:ascii="Times New Roman" w:hAnsi="Times New Roman" w:cs="Times New Roman"/>
          <w:sz w:val="24"/>
          <w:szCs w:val="24"/>
        </w:rPr>
        <w:t xml:space="preserve"> of</w:t>
      </w:r>
      <w:r w:rsidRPr="00057ADA">
        <w:rPr>
          <w:rFonts w:ascii="Times New Roman" w:hAnsi="Times New Roman" w:cs="Times New Roman"/>
          <w:sz w:val="24"/>
          <w:szCs w:val="24"/>
        </w:rPr>
        <w:t xml:space="preserve"> 100 m around each recorder was minimal (~ 10%). This radius covers most of the birds in the recordings, even if </w:t>
      </w:r>
      <w:r>
        <w:rPr>
          <w:rFonts w:ascii="Times New Roman" w:hAnsi="Times New Roman" w:cs="Times New Roman"/>
          <w:sz w:val="24"/>
          <w:szCs w:val="24"/>
        </w:rPr>
        <w:t>some</w:t>
      </w:r>
      <w:r w:rsidRPr="00057ADA">
        <w:rPr>
          <w:rFonts w:ascii="Times New Roman" w:hAnsi="Times New Roman" w:cs="Times New Roman"/>
          <w:sz w:val="24"/>
          <w:szCs w:val="24"/>
        </w:rPr>
        <w:t xml:space="preserve"> can be heard o</w:t>
      </w:r>
      <w:r>
        <w:rPr>
          <w:rFonts w:ascii="Times New Roman" w:hAnsi="Times New Roman" w:cs="Times New Roman"/>
          <w:sz w:val="24"/>
          <w:szCs w:val="24"/>
        </w:rPr>
        <w:t>ver</w:t>
      </w:r>
      <w:r w:rsidRPr="00057ADA">
        <w:rPr>
          <w:rFonts w:ascii="Times New Roman" w:hAnsi="Times New Roman" w:cs="Times New Roman"/>
          <w:sz w:val="24"/>
          <w:szCs w:val="24"/>
        </w:rPr>
        <w:t xml:space="preserve"> larger distances. The recorders were programmed to record for 2 minutes every 15 minutes throughout the day for two weeks starting at the end of October in 2021 and 2022, with a sampling rate of 44.1 kHz. By setting up the recorders in October before the rainy season</w:t>
      </w:r>
      <w:r>
        <w:rPr>
          <w:rFonts w:ascii="Times New Roman" w:hAnsi="Times New Roman" w:cs="Times New Roman"/>
          <w:sz w:val="24"/>
          <w:szCs w:val="24"/>
        </w:rPr>
        <w:t>,</w:t>
      </w:r>
      <w:r w:rsidRPr="00057ADA">
        <w:rPr>
          <w:rFonts w:ascii="Times New Roman" w:hAnsi="Times New Roman" w:cs="Times New Roman"/>
          <w:sz w:val="24"/>
          <w:szCs w:val="24"/>
        </w:rPr>
        <w:t xml:space="preserve"> we were able to avoid extensive background noise from heavy rainfall and covered a time window of high territoriality of many species. We sampled 43 of the study plots in 2021 and 23 of the study plots in 2022, covering all seven categories (Fig. 1) in both years. We selected two days from the recordings without heavy rain as far apart as possible from each other. </w:t>
      </w:r>
    </w:p>
    <w:p w14:paraId="1A9AFEE1" w14:textId="64565457" w:rsidR="000E0ABF" w:rsidRDefault="000E0ABF" w:rsidP="00B83545">
      <w:pPr>
        <w:spacing w:line="480" w:lineRule="auto"/>
        <w:jc w:val="both"/>
        <w:rPr>
          <w:rFonts w:ascii="Times New Roman" w:hAnsi="Times New Roman" w:cs="Times New Roman"/>
          <w:sz w:val="24"/>
          <w:szCs w:val="24"/>
        </w:rPr>
      </w:pPr>
      <w:bookmarkStart w:id="2" w:name="_Hlk180137174"/>
      <w:r w:rsidRPr="00057ADA">
        <w:rPr>
          <w:rFonts w:ascii="Times New Roman" w:hAnsi="Times New Roman" w:cs="Times New Roman"/>
          <w:sz w:val="24"/>
          <w:szCs w:val="24"/>
        </w:rPr>
        <w:t xml:space="preserve">An </w:t>
      </w:r>
      <w:r>
        <w:rPr>
          <w:rFonts w:ascii="Times New Roman" w:hAnsi="Times New Roman" w:cs="Times New Roman"/>
          <w:sz w:val="24"/>
          <w:szCs w:val="24"/>
        </w:rPr>
        <w:t>ornithologist with two decades of experience in this region</w:t>
      </w:r>
      <w:r w:rsidRPr="00057ADA">
        <w:rPr>
          <w:rFonts w:ascii="Times New Roman" w:hAnsi="Times New Roman" w:cs="Times New Roman"/>
          <w:sz w:val="24"/>
          <w:szCs w:val="24"/>
        </w:rPr>
        <w:t xml:space="preserve"> </w:t>
      </w:r>
      <w:bookmarkEnd w:id="2"/>
      <w:r w:rsidRPr="00057ADA">
        <w:rPr>
          <w:rFonts w:ascii="Times New Roman" w:hAnsi="Times New Roman" w:cs="Times New Roman"/>
          <w:sz w:val="24"/>
          <w:szCs w:val="24"/>
        </w:rPr>
        <w:t xml:space="preserve">(Rudy Gelis) identified birds from 2-minute files recorded </w:t>
      </w:r>
      <w:r>
        <w:rPr>
          <w:rFonts w:ascii="Times New Roman" w:hAnsi="Times New Roman" w:cs="Times New Roman"/>
          <w:sz w:val="24"/>
          <w:szCs w:val="24"/>
        </w:rPr>
        <w:t xml:space="preserve">at </w:t>
      </w:r>
      <w:r w:rsidRPr="002427E1">
        <w:rPr>
          <w:rFonts w:ascii="Times New Roman" w:hAnsi="Times New Roman" w:cs="Times New Roman"/>
          <w:sz w:val="24"/>
          <w:szCs w:val="24"/>
        </w:rPr>
        <w:t>06:00, 06:15, 06:30, 06:45, 07:00, 07:15, 12:00, 12:15, 16:00, 16:15, 17:00, 17:15, 18:00</w:t>
      </w:r>
      <w:r>
        <w:rPr>
          <w:rFonts w:ascii="Times New Roman" w:hAnsi="Times New Roman" w:cs="Times New Roman"/>
          <w:sz w:val="24"/>
          <w:szCs w:val="24"/>
        </w:rPr>
        <w:t xml:space="preserve"> and</w:t>
      </w:r>
      <w:r w:rsidRPr="002427E1">
        <w:rPr>
          <w:rFonts w:ascii="Times New Roman" w:hAnsi="Times New Roman" w:cs="Times New Roman"/>
          <w:sz w:val="24"/>
          <w:szCs w:val="24"/>
        </w:rPr>
        <w:t xml:space="preserve"> 18:15</w:t>
      </w:r>
      <w:r>
        <w:rPr>
          <w:rFonts w:ascii="Times New Roman" w:hAnsi="Times New Roman" w:cs="Times New Roman"/>
          <w:sz w:val="24"/>
          <w:szCs w:val="24"/>
        </w:rPr>
        <w:t xml:space="preserve">, across two days, </w:t>
      </w:r>
      <w:r w:rsidRPr="00057ADA">
        <w:rPr>
          <w:rFonts w:ascii="Times New Roman" w:hAnsi="Times New Roman" w:cs="Times New Roman"/>
          <w:sz w:val="24"/>
          <w:szCs w:val="24"/>
        </w:rPr>
        <w:t>covering the high activity phases of birds around dusk and dawn, as well as flock activit</w:t>
      </w:r>
      <w:r>
        <w:rPr>
          <w:rFonts w:ascii="Times New Roman" w:hAnsi="Times New Roman" w:cs="Times New Roman"/>
          <w:sz w:val="24"/>
          <w:szCs w:val="24"/>
        </w:rPr>
        <w:t>y during the day</w:t>
      </w:r>
      <w:r w:rsidRPr="00057ADA">
        <w:rPr>
          <w:rFonts w:ascii="Times New Roman" w:hAnsi="Times New Roman" w:cs="Times New Roman"/>
          <w:sz w:val="24"/>
          <w:szCs w:val="24"/>
        </w:rPr>
        <w:t xml:space="preserve">. </w:t>
      </w:r>
      <w:r w:rsidR="00C5096D" w:rsidRPr="00C5096D">
        <w:rPr>
          <w:rFonts w:ascii="Times New Roman" w:hAnsi="Times New Roman" w:cs="Times New Roman"/>
          <w:sz w:val="24"/>
          <w:szCs w:val="24"/>
        </w:rPr>
        <w:t xml:space="preserve">The recording times are based on the experience of </w:t>
      </w:r>
      <w:r w:rsidR="00C5096D">
        <w:rPr>
          <w:rFonts w:ascii="Times New Roman" w:hAnsi="Times New Roman" w:cs="Times New Roman"/>
          <w:sz w:val="24"/>
          <w:szCs w:val="24"/>
        </w:rPr>
        <w:t>RG</w:t>
      </w:r>
      <w:r w:rsidR="00C5096D" w:rsidRPr="00C5096D">
        <w:rPr>
          <w:rFonts w:ascii="Times New Roman" w:hAnsi="Times New Roman" w:cs="Times New Roman"/>
          <w:sz w:val="24"/>
          <w:szCs w:val="24"/>
        </w:rPr>
        <w:t xml:space="preserve"> and a subset of the audio files from each habitat category, which were used to identify all the time points necessary to detect the bird community as well as possible. As a result, the time points cover not only the times when we have peaks in overall bird activity, but also additional times during the day when we have a high chance of detecting flocks. We have also included time slots that are independent of the overall peaks of bird activity, </w:t>
      </w:r>
      <w:proofErr w:type="gramStart"/>
      <w:r w:rsidR="00C5096D" w:rsidRPr="00C5096D">
        <w:rPr>
          <w:rFonts w:ascii="Times New Roman" w:hAnsi="Times New Roman" w:cs="Times New Roman"/>
          <w:sz w:val="24"/>
          <w:szCs w:val="24"/>
        </w:rPr>
        <w:t>in order to</w:t>
      </w:r>
      <w:proofErr w:type="gramEnd"/>
      <w:r w:rsidR="00C5096D" w:rsidRPr="00C5096D">
        <w:rPr>
          <w:rFonts w:ascii="Times New Roman" w:hAnsi="Times New Roman" w:cs="Times New Roman"/>
          <w:sz w:val="24"/>
          <w:szCs w:val="24"/>
        </w:rPr>
        <w:t xml:space="preserve"> detect species with unusual behaviour, such as tree creepers that are active just before the majority of birds begin their activity. </w:t>
      </w:r>
      <w:r w:rsidRPr="00057ADA">
        <w:rPr>
          <w:rFonts w:ascii="Times New Roman" w:hAnsi="Times New Roman" w:cs="Times New Roman"/>
          <w:sz w:val="24"/>
          <w:szCs w:val="24"/>
        </w:rPr>
        <w:t xml:space="preserve">In total </w:t>
      </w:r>
      <w:r>
        <w:rPr>
          <w:rFonts w:ascii="Times New Roman" w:hAnsi="Times New Roman" w:cs="Times New Roman"/>
          <w:sz w:val="24"/>
          <w:szCs w:val="24"/>
        </w:rPr>
        <w:t>14</w:t>
      </w:r>
      <w:r w:rsidRPr="00057ADA">
        <w:rPr>
          <w:rFonts w:ascii="Times New Roman" w:hAnsi="Times New Roman" w:cs="Times New Roman"/>
          <w:sz w:val="24"/>
          <w:szCs w:val="24"/>
        </w:rPr>
        <w:t xml:space="preserve"> files were analysed per plot</w:t>
      </w:r>
      <w:r>
        <w:rPr>
          <w:rFonts w:ascii="Times New Roman" w:hAnsi="Times New Roman" w:cs="Times New Roman"/>
          <w:sz w:val="24"/>
          <w:szCs w:val="24"/>
        </w:rPr>
        <w:t>,</w:t>
      </w:r>
      <w:r w:rsidRPr="00057ADA">
        <w:rPr>
          <w:rFonts w:ascii="Times New Roman" w:hAnsi="Times New Roman" w:cs="Times New Roman"/>
          <w:sz w:val="24"/>
          <w:szCs w:val="24"/>
        </w:rPr>
        <w:t xml:space="preserve"> </w:t>
      </w:r>
      <w:r w:rsidRPr="00057ADA">
        <w:rPr>
          <w:rFonts w:ascii="Times New Roman" w:hAnsi="Times New Roman" w:cs="Times New Roman"/>
          <w:sz w:val="24"/>
          <w:szCs w:val="24"/>
        </w:rPr>
        <w:lastRenderedPageBreak/>
        <w:t xml:space="preserve">resulting in </w:t>
      </w:r>
      <w:r>
        <w:rPr>
          <w:rFonts w:ascii="Times New Roman" w:hAnsi="Times New Roman" w:cs="Times New Roman"/>
          <w:sz w:val="24"/>
          <w:szCs w:val="24"/>
        </w:rPr>
        <w:t>28</w:t>
      </w:r>
      <w:r w:rsidRPr="00057ADA">
        <w:rPr>
          <w:rFonts w:ascii="Times New Roman" w:hAnsi="Times New Roman" w:cs="Times New Roman"/>
          <w:sz w:val="24"/>
          <w:szCs w:val="24"/>
        </w:rPr>
        <w:t xml:space="preserve"> minutes per plot. The expert listened to the recorded soundscapes and looked at the spectrogram, blinded to the spatial location and habitat type of the analysed audio files. </w:t>
      </w:r>
      <w:bookmarkStart w:id="3" w:name="_Hlk172104504"/>
      <w:r>
        <w:rPr>
          <w:rFonts w:ascii="Times New Roman" w:hAnsi="Times New Roman" w:cs="Times New Roman"/>
          <w:sz w:val="24"/>
          <w:szCs w:val="24"/>
        </w:rPr>
        <w:t>The detection of bird species per audio file was classified as 1 if they were present and 0 if they were not present in the specific file.</w:t>
      </w:r>
      <w:bookmarkEnd w:id="3"/>
    </w:p>
    <w:p w14:paraId="249C91D9" w14:textId="77777777" w:rsidR="00ED6819" w:rsidRDefault="00ED6819" w:rsidP="00B83545">
      <w:pPr>
        <w:spacing w:line="480" w:lineRule="auto"/>
        <w:jc w:val="both"/>
        <w:rPr>
          <w:rFonts w:ascii="Times New Roman" w:hAnsi="Times New Roman" w:cs="Times New Roman"/>
          <w:i/>
          <w:iCs/>
          <w:sz w:val="24"/>
          <w:szCs w:val="24"/>
        </w:rPr>
      </w:pPr>
    </w:p>
    <w:p w14:paraId="0735E296" w14:textId="24FD4DC0" w:rsidR="00DD681A" w:rsidRPr="00DD681A" w:rsidRDefault="00DD681A" w:rsidP="00B83545">
      <w:pPr>
        <w:spacing w:line="480" w:lineRule="auto"/>
        <w:jc w:val="both"/>
        <w:rPr>
          <w:rFonts w:ascii="Times New Roman" w:hAnsi="Times New Roman" w:cs="Times New Roman"/>
          <w:i/>
          <w:iCs/>
          <w:sz w:val="24"/>
          <w:szCs w:val="24"/>
        </w:rPr>
      </w:pPr>
      <w:r w:rsidRPr="00DD681A">
        <w:rPr>
          <w:rFonts w:ascii="Times New Roman" w:hAnsi="Times New Roman" w:cs="Times New Roman"/>
          <w:i/>
          <w:iCs/>
          <w:sz w:val="24"/>
          <w:szCs w:val="24"/>
        </w:rPr>
        <w:t>Phylogenetic tree</w:t>
      </w:r>
    </w:p>
    <w:p w14:paraId="12346A32" w14:textId="77777777" w:rsidR="00DD681A" w:rsidRPr="00057ADA" w:rsidRDefault="00DD681A" w:rsidP="00B83545">
      <w:pPr>
        <w:spacing w:line="480" w:lineRule="auto"/>
        <w:jc w:val="both"/>
        <w:rPr>
          <w:rFonts w:ascii="Times New Roman" w:hAnsi="Times New Roman" w:cs="Times New Roman"/>
          <w:sz w:val="24"/>
          <w:szCs w:val="24"/>
        </w:rPr>
      </w:pPr>
      <w:r w:rsidRPr="00057ADA">
        <w:rPr>
          <w:rFonts w:ascii="Times New Roman" w:hAnsi="Times New Roman" w:cs="Times New Roman"/>
          <w:sz w:val="24"/>
          <w:szCs w:val="24"/>
        </w:rPr>
        <w:t xml:space="preserve">The phylogenetic tree was built with the </w:t>
      </w:r>
      <w:proofErr w:type="spellStart"/>
      <w:r w:rsidRPr="00057ADA">
        <w:rPr>
          <w:rFonts w:ascii="Times New Roman" w:hAnsi="Times New Roman" w:cs="Times New Roman"/>
          <w:sz w:val="24"/>
          <w:szCs w:val="24"/>
        </w:rPr>
        <w:t>U.PhyloMaker</w:t>
      </w:r>
      <w:proofErr w:type="spellEnd"/>
      <w:r w:rsidRPr="00057ADA">
        <w:rPr>
          <w:rFonts w:ascii="Times New Roman" w:hAnsi="Times New Roman" w:cs="Times New Roman"/>
          <w:sz w:val="24"/>
          <w:szCs w:val="24"/>
        </w:rPr>
        <w:t xml:space="preserve"> package in R </w:t>
      </w:r>
      <w:r w:rsidRPr="00057ADA">
        <w:rPr>
          <w:rFonts w:ascii="Times New Roman" w:hAnsi="Times New Roman" w:cs="Times New Roman"/>
          <w:sz w:val="24"/>
          <w:szCs w:val="24"/>
        </w:rPr>
        <w:fldChar w:fldCharType="begin" w:fldLock="1"/>
      </w:r>
      <w:r w:rsidRPr="00057ADA">
        <w:rPr>
          <w:rFonts w:ascii="Times New Roman" w:hAnsi="Times New Roman" w:cs="Times New Roman"/>
          <w:sz w:val="24"/>
          <w:szCs w:val="24"/>
        </w:rPr>
        <w:instrText>ADDIN CSL_CITATION {"citationItems":[{"id":"ITEM-1","itemData":{"DOI":"10.1016/j.pld.2022.12.007","ISSN":"24682659","abstract":"The previously released packages of the PhyloMaker series (i.e. S.PhyloMaker, V.PhyloMaker, and V.PhyloMaker2) have been broadly used to generate phylogenetic trees for ecological and biogeographical studies. Although these packages can be used to generate phylogenetic trees for any groups of plants and animals for which megatrees are available, they focus on generating phylogenetic trees for plants based on the megatrees provided by the packages. How to use these packages to generate phylogenetic trees based on other megatrees is not straightforward. Here, we present a new tool, which is called ‘U.PhyloMaker’, and a simple R script that can be used to easily generate large phylogenetic trees for both plants and animals at a relatively fast speed.","author":[{"dropping-particle":"","family":"Jin","given":"Yi","non-dropping-particle":"","parse-names":false,"suffix":""},{"dropping-particle":"","family":"Qian","given":"Hong","non-dropping-particle":"","parse-names":false,"suffix":""}],"container-title":"Plant Diversity","id":"ITEM-1","issue":"3","issued":{"date-parts":[["2023"]]},"page":"347-352","publisher":"Kunming Institute of Botany, Chinese Academy of Sciences","title":"U.PhyloMaker: An R package that can generate large phylogenetic trees for plants and animals","type":"article-journal","volume":"45"},"uris":["http://www.mendeley.com/documents/?uuid=f4ebcbd6-ccbe-4ff1-a530-c1adaa1c7bdd"]}],"mendeley":{"formattedCitation":"(Jin &amp; Qian, 2023)","plainTextFormattedCitation":"(Jin &amp; Qian, 2023)","previouslyFormattedCitation":"(Jin &amp; Qian, 2023)"},"properties":{"noteIndex":0},"schema":"https://github.com/citation-style-language/schema/raw/master/csl-citation.json"}</w:instrText>
      </w:r>
      <w:r w:rsidRPr="00057ADA">
        <w:rPr>
          <w:rFonts w:ascii="Times New Roman" w:hAnsi="Times New Roman" w:cs="Times New Roman"/>
          <w:sz w:val="24"/>
          <w:szCs w:val="24"/>
        </w:rPr>
        <w:fldChar w:fldCharType="separate"/>
      </w:r>
      <w:r w:rsidRPr="00057ADA">
        <w:rPr>
          <w:rFonts w:ascii="Times New Roman" w:hAnsi="Times New Roman" w:cs="Times New Roman"/>
          <w:noProof/>
          <w:sz w:val="24"/>
          <w:szCs w:val="24"/>
        </w:rPr>
        <w:t>(Jin &amp; Qian, 2023)</w:t>
      </w:r>
      <w:r w:rsidRPr="00057ADA">
        <w:rPr>
          <w:rFonts w:ascii="Times New Roman" w:hAnsi="Times New Roman" w:cs="Times New Roman"/>
          <w:sz w:val="24"/>
          <w:szCs w:val="24"/>
        </w:rPr>
        <w:fldChar w:fldCharType="end"/>
      </w:r>
      <w:r w:rsidRPr="00057ADA">
        <w:rPr>
          <w:rFonts w:ascii="Times New Roman" w:hAnsi="Times New Roman" w:cs="Times New Roman"/>
          <w:sz w:val="24"/>
          <w:szCs w:val="24"/>
        </w:rPr>
        <w:t xml:space="preserve"> based on the bird-</w:t>
      </w:r>
      <w:proofErr w:type="spellStart"/>
      <w:r w:rsidRPr="00057ADA">
        <w:rPr>
          <w:rFonts w:ascii="Times New Roman" w:hAnsi="Times New Roman" w:cs="Times New Roman"/>
          <w:sz w:val="24"/>
          <w:szCs w:val="24"/>
        </w:rPr>
        <w:t>megatree</w:t>
      </w:r>
      <w:proofErr w:type="spellEnd"/>
      <w:r w:rsidRPr="00057ADA">
        <w:rPr>
          <w:rFonts w:ascii="Times New Roman" w:hAnsi="Times New Roman" w:cs="Times New Roman"/>
          <w:sz w:val="24"/>
          <w:szCs w:val="24"/>
        </w:rPr>
        <w:t xml:space="preserve"> by </w:t>
      </w:r>
      <w:r w:rsidRPr="00057ADA">
        <w:rPr>
          <w:rFonts w:ascii="Times New Roman" w:hAnsi="Times New Roman" w:cs="Times New Roman"/>
          <w:sz w:val="24"/>
          <w:szCs w:val="24"/>
        </w:rPr>
        <w:fldChar w:fldCharType="begin" w:fldLock="1"/>
      </w:r>
      <w:r w:rsidRPr="00057ADA">
        <w:rPr>
          <w:rFonts w:ascii="Times New Roman" w:hAnsi="Times New Roman" w:cs="Times New Roman"/>
          <w:sz w:val="24"/>
          <w:szCs w:val="24"/>
        </w:rPr>
        <w:instrText>ADDIN CSL_CITATION {"citationItems":[{"id":"ITEM-1","itemData":{"DOI":"10.1038/nature11631","ISSN":"00280836","PMID":"23123857","abstract":"Current global patterns of biodiversity result from processes that operate over both space and time and thus require an integrated macroecological and macroevolutionary perspective. Molecular time trees have advanced our understanding of the tempo and mode of diversification and have identified remarkable adaptive radiations across the tree of life. However, incomplete joint phylogenetic and geographic sampling has limited broad-scale inference. Thus, the relative prevalence of rapid radiations and the importance of their geographic settings in shaping global biodiversity patterns remain unclear. Here we present, analyse and map the first complete dated phylogeny of all 9,993 extant species of birds, a widely studied group showing many unique adaptations. We find that birds have undergone a strong increase in diversification rate from about 50 million years ago to the near present. This acceleration is due to a number of significant rate increases, both within songbirds and within other young and mostly temperate radiations including the waterfowl, gulls and woodpeckers. Importantly, species characterized with very high past diversification rates are interspersed throughout the avian tree and across geographic space. Geographically, the major differences in diversification rates are hemispheric rather than latitudinal, with bird assemblages in Asia, North America and southern South America containing a disproportionate number of species from recent rapid radiations. The contribution of rapidly radiating lineages to both temporal diversification dynamics and spatial distributions of species diversity illustrates the benefits of an inclusive geographical and taxonomical perspective. Overall, whereas constituent clades may exhibit slowdowns, the adaptive zone into which modern birds have diversified since the Cretaceous may still offer opportunities for diversification. © 2012 Macmillan Publishers Limited. All rights reserved.","author":[{"dropping-particle":"","family":"Jetz","given":"W.","non-dropping-particle":"","parse-names":false,"suffix":""},{"dropping-particle":"","family":"Thomas","given":"G. H.","non-dropping-particle":"","parse-names":false,"suffix":""},{"dropping-particle":"","family":"Joy","given":"J. B.","non-dropping-particle":"","parse-names":false,"suffix":""},{"dropping-particle":"","family":"Hartmann","given":"K.","non-dropping-particle":"","parse-names":false,"suffix":""},{"dropping-particle":"","family":"Mooers","given":"A. O.","non-dropping-particle":"","parse-names":false,"suffix":""}],"container-title":"Nature","id":"ITEM-1","issue":"7424","issued":{"date-parts":[["2012"]]},"page":"444-448","title":"The global diversity of birds in space and time","type":"article-journal","volume":"491"},"uris":["http://www.mendeley.com/documents/?uuid=76a1e88e-5ca3-43be-9b99-e92be300c0e4"]}],"mendeley":{"formattedCitation":"(Jetz et al., 2012)","manualFormatting":"Jetz et al. (2012)","plainTextFormattedCitation":"(Jetz et al., 2012)","previouslyFormattedCitation":"(Jetz et al., 2012)"},"properties":{"noteIndex":0},"schema":"https://github.com/citation-style-language/schema/raw/master/csl-citation.json"}</w:instrText>
      </w:r>
      <w:r w:rsidRPr="00057ADA">
        <w:rPr>
          <w:rFonts w:ascii="Times New Roman" w:hAnsi="Times New Roman" w:cs="Times New Roman"/>
          <w:sz w:val="24"/>
          <w:szCs w:val="24"/>
        </w:rPr>
        <w:fldChar w:fldCharType="separate"/>
      </w:r>
      <w:r w:rsidRPr="00057ADA">
        <w:rPr>
          <w:rFonts w:ascii="Times New Roman" w:hAnsi="Times New Roman" w:cs="Times New Roman"/>
          <w:noProof/>
          <w:sz w:val="24"/>
          <w:szCs w:val="24"/>
        </w:rPr>
        <w:t xml:space="preserve">Jetz </w:t>
      </w:r>
      <w:r w:rsidRPr="00057ADA">
        <w:rPr>
          <w:rFonts w:ascii="Times New Roman" w:hAnsi="Times New Roman" w:cs="Times New Roman"/>
          <w:i/>
          <w:noProof/>
          <w:sz w:val="24"/>
          <w:szCs w:val="24"/>
        </w:rPr>
        <w:t>et al.</w:t>
      </w:r>
      <w:r w:rsidRPr="00057ADA">
        <w:rPr>
          <w:rFonts w:ascii="Times New Roman" w:hAnsi="Times New Roman" w:cs="Times New Roman"/>
          <w:noProof/>
          <w:sz w:val="24"/>
          <w:szCs w:val="24"/>
        </w:rPr>
        <w:t xml:space="preserve"> (2012)</w:t>
      </w:r>
      <w:r w:rsidRPr="00057ADA">
        <w:rPr>
          <w:rFonts w:ascii="Times New Roman" w:hAnsi="Times New Roman" w:cs="Times New Roman"/>
          <w:sz w:val="24"/>
          <w:szCs w:val="24"/>
        </w:rPr>
        <w:fldChar w:fldCharType="end"/>
      </w:r>
      <w:r w:rsidRPr="00057ADA">
        <w:rPr>
          <w:rFonts w:ascii="Times New Roman" w:hAnsi="Times New Roman" w:cs="Times New Roman"/>
          <w:sz w:val="24"/>
          <w:szCs w:val="24"/>
        </w:rPr>
        <w:t xml:space="preserve">. We marked species with a limited range size in our phylogenetic tree, which </w:t>
      </w:r>
      <w:proofErr w:type="gramStart"/>
      <w:r w:rsidRPr="00057ADA">
        <w:rPr>
          <w:rFonts w:ascii="Times New Roman" w:hAnsi="Times New Roman" w:cs="Times New Roman"/>
          <w:sz w:val="24"/>
          <w:szCs w:val="24"/>
        </w:rPr>
        <w:t>are considered to be</w:t>
      </w:r>
      <w:proofErr w:type="gramEnd"/>
      <w:r w:rsidRPr="00057ADA">
        <w:rPr>
          <w:rFonts w:ascii="Times New Roman" w:hAnsi="Times New Roman" w:cs="Times New Roman"/>
          <w:sz w:val="24"/>
          <w:szCs w:val="24"/>
        </w:rPr>
        <w:t xml:space="preserve"> endemic and more prone to extinction risk (Fig. 2). The definition </w:t>
      </w:r>
      <w:r>
        <w:rPr>
          <w:rFonts w:ascii="Times New Roman" w:hAnsi="Times New Roman" w:cs="Times New Roman"/>
          <w:sz w:val="24"/>
          <w:szCs w:val="24"/>
        </w:rPr>
        <w:t>of</w:t>
      </w:r>
      <w:r w:rsidRPr="00057ADA">
        <w:rPr>
          <w:rFonts w:ascii="Times New Roman" w:hAnsi="Times New Roman" w:cs="Times New Roman"/>
          <w:sz w:val="24"/>
          <w:szCs w:val="24"/>
        </w:rPr>
        <w:t xml:space="preserve"> </w:t>
      </w:r>
      <w:proofErr w:type="spellStart"/>
      <w:r w:rsidRPr="00057ADA">
        <w:rPr>
          <w:rFonts w:ascii="Times New Roman" w:hAnsi="Times New Roman" w:cs="Times New Roman"/>
          <w:sz w:val="24"/>
          <w:szCs w:val="24"/>
        </w:rPr>
        <w:t>BirdLife</w:t>
      </w:r>
      <w:proofErr w:type="spellEnd"/>
      <w:r w:rsidRPr="00057ADA">
        <w:rPr>
          <w:rFonts w:ascii="Times New Roman" w:hAnsi="Times New Roman" w:cs="Times New Roman"/>
          <w:sz w:val="24"/>
          <w:szCs w:val="24"/>
        </w:rPr>
        <w:t xml:space="preserve"> International (http://datazone.birdlife.org/eba) for endemic birds is a range size of 50,000 km</w:t>
      </w:r>
      <w:r w:rsidRPr="00057ADA">
        <w:rPr>
          <w:rFonts w:ascii="Times New Roman" w:hAnsi="Times New Roman" w:cs="Times New Roman"/>
          <w:sz w:val="24"/>
          <w:szCs w:val="24"/>
          <w:vertAlign w:val="superscript"/>
        </w:rPr>
        <w:t>2</w:t>
      </w:r>
      <w:r w:rsidRPr="00057ADA">
        <w:rPr>
          <w:rFonts w:ascii="Times New Roman" w:hAnsi="Times New Roman" w:cs="Times New Roman"/>
          <w:sz w:val="24"/>
          <w:szCs w:val="24"/>
        </w:rPr>
        <w:t xml:space="preserve">. To include species like the </w:t>
      </w:r>
      <w:proofErr w:type="spellStart"/>
      <w:r w:rsidRPr="00057ADA">
        <w:rPr>
          <w:rFonts w:ascii="Times New Roman" w:hAnsi="Times New Roman" w:cs="Times New Roman"/>
          <w:sz w:val="24"/>
          <w:szCs w:val="24"/>
        </w:rPr>
        <w:t>Berlepsch's</w:t>
      </w:r>
      <w:proofErr w:type="spellEnd"/>
      <w:r w:rsidRPr="00057ADA">
        <w:rPr>
          <w:rFonts w:ascii="Times New Roman" w:hAnsi="Times New Roman" w:cs="Times New Roman"/>
          <w:sz w:val="24"/>
          <w:szCs w:val="24"/>
        </w:rPr>
        <w:t xml:space="preserve"> tinamou (</w:t>
      </w:r>
      <w:proofErr w:type="spellStart"/>
      <w:r w:rsidRPr="00057ADA">
        <w:rPr>
          <w:rFonts w:ascii="Times New Roman" w:hAnsi="Times New Roman" w:cs="Times New Roman"/>
          <w:i/>
          <w:iCs/>
          <w:sz w:val="24"/>
          <w:szCs w:val="24"/>
        </w:rPr>
        <w:t>Crypturellus</w:t>
      </w:r>
      <w:proofErr w:type="spellEnd"/>
      <w:r w:rsidRPr="00057ADA">
        <w:rPr>
          <w:rFonts w:ascii="Times New Roman" w:hAnsi="Times New Roman" w:cs="Times New Roman"/>
          <w:i/>
          <w:iCs/>
          <w:sz w:val="24"/>
          <w:szCs w:val="24"/>
        </w:rPr>
        <w:t xml:space="preserve"> </w:t>
      </w:r>
      <w:proofErr w:type="spellStart"/>
      <w:r w:rsidRPr="00057ADA">
        <w:rPr>
          <w:rFonts w:ascii="Times New Roman" w:hAnsi="Times New Roman" w:cs="Times New Roman"/>
          <w:i/>
          <w:iCs/>
          <w:sz w:val="24"/>
          <w:szCs w:val="24"/>
        </w:rPr>
        <w:t>berlepschi</w:t>
      </w:r>
      <w:proofErr w:type="spellEnd"/>
      <w:r w:rsidRPr="00057ADA">
        <w:rPr>
          <w:rFonts w:ascii="Times New Roman" w:hAnsi="Times New Roman" w:cs="Times New Roman"/>
          <w:sz w:val="24"/>
          <w:szCs w:val="24"/>
        </w:rPr>
        <w:t xml:space="preserve">, Rothschild, 1897), which is also known to have </w:t>
      </w:r>
      <w:r>
        <w:rPr>
          <w:rFonts w:ascii="Times New Roman" w:hAnsi="Times New Roman" w:cs="Times New Roman"/>
          <w:sz w:val="24"/>
          <w:szCs w:val="24"/>
        </w:rPr>
        <w:t xml:space="preserve">a </w:t>
      </w:r>
      <w:r w:rsidRPr="00057ADA">
        <w:rPr>
          <w:rFonts w:ascii="Times New Roman" w:hAnsi="Times New Roman" w:cs="Times New Roman"/>
          <w:sz w:val="24"/>
          <w:szCs w:val="24"/>
        </w:rPr>
        <w:t>decreasing population trend and to be dependent on forest habitat, we also included species with a range size &lt; 60,000 km</w:t>
      </w:r>
      <w:r w:rsidRPr="00057ADA">
        <w:rPr>
          <w:rFonts w:ascii="Times New Roman" w:hAnsi="Times New Roman" w:cs="Times New Roman"/>
          <w:sz w:val="24"/>
          <w:szCs w:val="24"/>
          <w:vertAlign w:val="superscript"/>
        </w:rPr>
        <w:t>2</w:t>
      </w:r>
      <w:r w:rsidRPr="00057ADA">
        <w:rPr>
          <w:rFonts w:ascii="Times New Roman" w:hAnsi="Times New Roman" w:cs="Times New Roman"/>
          <w:sz w:val="24"/>
          <w:szCs w:val="24"/>
        </w:rPr>
        <w:t xml:space="preserve"> in our selection.  </w:t>
      </w:r>
    </w:p>
    <w:p w14:paraId="1E14F4BA" w14:textId="77777777" w:rsidR="00ED6819" w:rsidRDefault="00ED6819" w:rsidP="00B83545">
      <w:pPr>
        <w:spacing w:line="480" w:lineRule="auto"/>
        <w:jc w:val="both"/>
        <w:rPr>
          <w:rFonts w:ascii="Times New Roman" w:hAnsi="Times New Roman" w:cs="Times New Roman"/>
          <w:i/>
          <w:iCs/>
          <w:sz w:val="24"/>
          <w:szCs w:val="24"/>
        </w:rPr>
      </w:pPr>
    </w:p>
    <w:p w14:paraId="4FBFF55A" w14:textId="641894E5" w:rsidR="00DD681A" w:rsidRPr="00ED6819" w:rsidRDefault="00ED6819" w:rsidP="00B83545">
      <w:pPr>
        <w:spacing w:line="480" w:lineRule="auto"/>
        <w:jc w:val="both"/>
        <w:rPr>
          <w:rFonts w:ascii="Times New Roman" w:hAnsi="Times New Roman" w:cs="Times New Roman"/>
          <w:i/>
          <w:iCs/>
          <w:sz w:val="24"/>
          <w:szCs w:val="24"/>
        </w:rPr>
      </w:pPr>
      <w:r w:rsidRPr="00ED6819">
        <w:rPr>
          <w:rFonts w:ascii="Times New Roman" w:hAnsi="Times New Roman" w:cs="Times New Roman"/>
          <w:i/>
          <w:iCs/>
          <w:sz w:val="24"/>
          <w:szCs w:val="24"/>
        </w:rPr>
        <w:t>iNEXT3D calculations</w:t>
      </w:r>
    </w:p>
    <w:p w14:paraId="7B06CED7" w14:textId="77777777" w:rsidR="00ED6819" w:rsidRPr="00057ADA" w:rsidRDefault="00ED6819" w:rsidP="00B83545">
      <w:pPr>
        <w:spacing w:line="480" w:lineRule="auto"/>
        <w:jc w:val="both"/>
        <w:rPr>
          <w:rFonts w:ascii="Times New Roman" w:hAnsi="Times New Roman" w:cs="Times New Roman"/>
          <w:sz w:val="24"/>
          <w:szCs w:val="24"/>
        </w:rPr>
      </w:pPr>
      <w:r w:rsidRPr="00057ADA">
        <w:rPr>
          <w:rFonts w:ascii="Times New Roman" w:hAnsi="Times New Roman" w:cs="Times New Roman"/>
          <w:sz w:val="24"/>
          <w:szCs w:val="24"/>
        </w:rPr>
        <w:t>For phylogenetic and functional diversity, we calculated distance matrices based on trait data and phylogeny</w:t>
      </w:r>
      <w:r>
        <w:rPr>
          <w:rFonts w:ascii="Times New Roman" w:hAnsi="Times New Roman" w:cs="Times New Roman"/>
          <w:sz w:val="24"/>
          <w:szCs w:val="24"/>
        </w:rPr>
        <w:t>,</w:t>
      </w:r>
      <w:r w:rsidRPr="00057ADA">
        <w:rPr>
          <w:rFonts w:ascii="Times New Roman" w:hAnsi="Times New Roman" w:cs="Times New Roman"/>
          <w:sz w:val="24"/>
          <w:szCs w:val="24"/>
        </w:rPr>
        <w:t xml:space="preserve"> respectively, which were then used in the iNEXT3D function. For phylogenetic diversity, the iNEXT3D function calculates </w:t>
      </w:r>
      <w:r>
        <w:rPr>
          <w:rFonts w:ascii="Times New Roman" w:hAnsi="Times New Roman" w:cs="Times New Roman"/>
          <w:sz w:val="24"/>
          <w:szCs w:val="24"/>
        </w:rPr>
        <w:t xml:space="preserve">the </w:t>
      </w:r>
      <w:r w:rsidRPr="00057ADA">
        <w:rPr>
          <w:rFonts w:ascii="Times New Roman" w:hAnsi="Times New Roman" w:cs="Times New Roman"/>
          <w:sz w:val="24"/>
          <w:szCs w:val="24"/>
        </w:rPr>
        <w:t xml:space="preserve">branch lengths between all species. Those branch segments are defined as phylogenetic attributes. Phylogenetic diversity is interpreted as the effective total number of phylogenetic attributes </w:t>
      </w:r>
      <w:r w:rsidRPr="00057ADA">
        <w:rPr>
          <w:rFonts w:ascii="Times New Roman" w:hAnsi="Times New Roman" w:cs="Times New Roman"/>
          <w:sz w:val="24"/>
          <w:szCs w:val="24"/>
        </w:rPr>
        <w:fldChar w:fldCharType="begin" w:fldLock="1"/>
      </w:r>
      <w:r w:rsidRPr="00057ADA">
        <w:rPr>
          <w:rFonts w:ascii="Times New Roman" w:hAnsi="Times New Roman" w:cs="Times New Roman"/>
          <w:sz w:val="24"/>
          <w:szCs w:val="24"/>
        </w:rPr>
        <w:instrText>ADDIN CSL_CITATION {"citationItems":[{"id":"ITEM-1","itemData":{"DOI":"10.1111/2041-210X.13682","ISSN":"2041210X","abstract":"Biodiversity is a multifaceted concept covering different levels of organization from genes to ecosystems. Biodiversity has at least three dimensions: (a) Taxonomic diversity (TD): a measure that is sensitive to the number and abundances of species. (b) Phylogenetic diversity (PD): a measure that incorporates not only species abundances but also species evolutionary histories. (c) Functional diversity (FD): a measure that considers not only species abundances but also species' traits. We integrate the three dimensions of diversity under a unified framework of Hill numbers and their generalizations. Our TD quantifies the effective number of equally abundant species, PD quantifies the effective total branch length, mean-PD (PD divided by tree depth) quantifies the effective number of equally divergent lineages, and FD quantifies the effective number of equally distinct virtual functional groups (or functional ‘species’). Thus, TD, mean-PD and FD are all in the same units of species/lineage equivalents and can be meaningfully compared. Like species richness, empirical TD, PD and FD based on sampling data depend on sampling effort and sample completeness. For TD (Hill numbers), the iNEXT (interpolation and extrapolation) standardization was developed for standardizing sample size or sample completeness (as measured by sample coverage, the fraction of individuals that belong to the observed species) to make objective comparisons across studies. This paper extends the iNEXT method to the iNEXT.3D standardization to encompass all three dimensions of diversity via sample size- and sample coverage-based rarefaction and extrapolation under the unified framework. The asymptotic diversity estimates (i.e. sample size tends to infinity and sample coverage tends to unity) are also derived. In addition to individual-based abundance data, the proposed iNEXT.3D standardization is adapted to deal with incidence-based occurrence data. We apply the integrative framework and the proposed iNEXT.3D standardization to measure temporal alpha-diversity changes for estuarine fish assemblage data spanning four decades. The influence of environmental drivers on diversity change are also assessed. Our analysis informs a mechanistic interpretation of biodiversity change in the three dimensions of diversity. The accompanying freeware, iNEXT.3D, developed during this project, facilitates all computation and graphics.","author":[{"dropping-particle":"","family":"Chao","given":"Anne","non-dropping-particle":"","parse-names":false,"suffix":""},{"dropping-particle":"","family":"Henderson","given":"Peter A.","non-dropping-particle":"","parse-names":false,"suffix":""},{"dropping-particle":"","family":"Chiu","given":"Chun Huo","non-dropping-particle":"","parse-names":false,"suffix":""},{"dropping-particle":"","family":"Moyes","given":"Faye","non-dropping-particle":"","parse-names":false,"suffix":""},{"dropping-particle":"","family":"Hu","given":"Kai Hsiang","non-dropping-particle":"","parse-names":false,"suffix":""},{"dropping-particle":"","family":"Dornelas","given":"Maria","non-dropping-particle":"","parse-names":false,"suffix":""},{"dropping-particle":"","family":"Magurran","given":"Anne E.","non-dropping-particle":"","parse-names":false,"suffix":""}],"container-title":"Methods in Ecology and Evolution","id":"ITEM-1","issue":"10","issued":{"date-parts":[["2021"]]},"page":"1926-1940","title":"Measuring temporal change in alpha diversity: A framework integrating taxonomic, phylogenetic and functional diversity and the iNEXT.3D standardization","type":"article-journal","volume":"12"},"uris":["http://www.mendeley.com/documents/?uuid=6194e25a-55ed-4032-b8ba-069ffc8a3432"]}],"mendeley":{"formattedCitation":"(Chao et al., 2021)","plainTextFormattedCitation":"(Chao et al., 2021)","previouslyFormattedCitation":"(Chao et al., 2021)"},"properties":{"noteIndex":0},"schema":"https://github.com/citation-style-language/schema/raw/master/csl-citation.json"}</w:instrText>
      </w:r>
      <w:r w:rsidRPr="00057ADA">
        <w:rPr>
          <w:rFonts w:ascii="Times New Roman" w:hAnsi="Times New Roman" w:cs="Times New Roman"/>
          <w:sz w:val="24"/>
          <w:szCs w:val="24"/>
        </w:rPr>
        <w:fldChar w:fldCharType="separate"/>
      </w:r>
      <w:r w:rsidRPr="00057ADA">
        <w:rPr>
          <w:rFonts w:ascii="Times New Roman" w:hAnsi="Times New Roman" w:cs="Times New Roman"/>
          <w:noProof/>
          <w:sz w:val="24"/>
          <w:szCs w:val="24"/>
        </w:rPr>
        <w:t>(Chao et al., 2021)</w:t>
      </w:r>
      <w:r w:rsidRPr="00057ADA">
        <w:rPr>
          <w:rFonts w:ascii="Times New Roman" w:hAnsi="Times New Roman" w:cs="Times New Roman"/>
          <w:sz w:val="24"/>
          <w:szCs w:val="24"/>
        </w:rPr>
        <w:fldChar w:fldCharType="end"/>
      </w:r>
      <w:r w:rsidRPr="00057ADA">
        <w:rPr>
          <w:rFonts w:ascii="Times New Roman" w:hAnsi="Times New Roman" w:cs="Times New Roman"/>
          <w:sz w:val="24"/>
          <w:szCs w:val="24"/>
        </w:rPr>
        <w:t xml:space="preserve">. </w:t>
      </w:r>
      <w:r>
        <w:rPr>
          <w:rFonts w:ascii="Times New Roman" w:hAnsi="Times New Roman" w:cs="Times New Roman"/>
          <w:sz w:val="24"/>
          <w:szCs w:val="24"/>
        </w:rPr>
        <w:t>The f</w:t>
      </w:r>
      <w:r w:rsidRPr="00057ADA">
        <w:rPr>
          <w:rFonts w:ascii="Times New Roman" w:hAnsi="Times New Roman" w:cs="Times New Roman"/>
          <w:sz w:val="24"/>
          <w:szCs w:val="24"/>
        </w:rPr>
        <w:t xml:space="preserve">unctional diversity in iNEXT3D is based on </w:t>
      </w:r>
      <w:r>
        <w:rPr>
          <w:rFonts w:ascii="Times New Roman" w:hAnsi="Times New Roman" w:cs="Times New Roman"/>
          <w:sz w:val="24"/>
          <w:szCs w:val="24"/>
        </w:rPr>
        <w:t xml:space="preserve">the </w:t>
      </w:r>
      <w:r w:rsidRPr="00057ADA">
        <w:rPr>
          <w:rFonts w:ascii="Times New Roman" w:hAnsi="Times New Roman" w:cs="Times New Roman"/>
          <w:sz w:val="24"/>
          <w:szCs w:val="24"/>
        </w:rPr>
        <w:t xml:space="preserve">Gower distances. </w:t>
      </w:r>
      <w:r>
        <w:rPr>
          <w:rFonts w:ascii="Times New Roman" w:hAnsi="Times New Roman" w:cs="Times New Roman"/>
          <w:sz w:val="24"/>
          <w:szCs w:val="24"/>
        </w:rPr>
        <w:t>On the basis of</w:t>
      </w:r>
      <w:r w:rsidRPr="00057ADA">
        <w:rPr>
          <w:rFonts w:ascii="Times New Roman" w:hAnsi="Times New Roman" w:cs="Times New Roman"/>
          <w:sz w:val="24"/>
          <w:szCs w:val="24"/>
        </w:rPr>
        <w:t xml:space="preserve"> the distance matrices</w:t>
      </w:r>
      <w:r>
        <w:rPr>
          <w:rFonts w:ascii="Times New Roman" w:hAnsi="Times New Roman" w:cs="Times New Roman"/>
          <w:sz w:val="24"/>
          <w:szCs w:val="24"/>
        </w:rPr>
        <w:t>,</w:t>
      </w:r>
      <w:r w:rsidRPr="00057ADA">
        <w:rPr>
          <w:rFonts w:ascii="Times New Roman" w:hAnsi="Times New Roman" w:cs="Times New Roman"/>
          <w:sz w:val="24"/>
          <w:szCs w:val="24"/>
        </w:rPr>
        <w:t xml:space="preserve"> all species are placed in a functional space and classified into virtual functional groups. </w:t>
      </w:r>
      <w:r w:rsidRPr="00057ADA">
        <w:rPr>
          <w:rFonts w:ascii="Times New Roman" w:hAnsi="Times New Roman" w:cs="Times New Roman"/>
          <w:sz w:val="24"/>
          <w:szCs w:val="24"/>
        </w:rPr>
        <w:fldChar w:fldCharType="begin" w:fldLock="1"/>
      </w:r>
      <w:r w:rsidRPr="00057ADA">
        <w:rPr>
          <w:rFonts w:ascii="Times New Roman" w:hAnsi="Times New Roman" w:cs="Times New Roman"/>
          <w:sz w:val="24"/>
          <w:szCs w:val="24"/>
        </w:rPr>
        <w:instrText>ADDIN CSL_CITATION {"citationItems":[{"id":"ITEM-1","itemData":{"DOI":"10.1111/2041-210X.13682","ISSN":"2041210X","abstract":"Biodiversity is a multifaceted concept covering different levels of organization from genes to ecosystems. Biodiversity has at least three dimensions: (a) Taxonomic diversity (TD): a measure that is sensitive to the number and abundances of species. (b) Phylogenetic diversity (PD): a measure that incorporates not only species abundances but also species evolutionary histories. (c) Functional diversity (FD): a measure that considers not only species abundances but also species' traits. We integrate the three dimensions of diversity under a unified framework of Hill numbers and their generalizations. Our TD quantifies the effective number of equally abundant species, PD quantifies the effective total branch length, mean-PD (PD divided by tree depth) quantifies the effective number of equally divergent lineages, and FD quantifies the effective number of equally distinct virtual functional groups (or functional ‘species’). Thus, TD, mean-PD and FD are all in the same units of species/lineage equivalents and can be meaningfully compared. Like species richness, empirical TD, PD and FD based on sampling data depend on sampling effort and sample completeness. For TD (Hill numbers), the iNEXT (interpolation and extrapolation) standardization was developed for standardizing sample size or sample completeness (as measured by sample coverage, the fraction of individuals that belong to the observed species) to make objective comparisons across studies. This paper extends the iNEXT method to the iNEXT.3D standardization to encompass all three dimensions of diversity via sample size- and sample coverage-based rarefaction and extrapolation under the unified framework. The asymptotic diversity estimates (i.e. sample size tends to infinity and sample coverage tends to unity) are also derived. In addition to individual-based abundance data, the proposed iNEXT.3D standardization is adapted to deal with incidence-based occurrence data. We apply the integrative framework and the proposed iNEXT.3D standardization to measure temporal alpha-diversity changes for estuarine fish assemblage data spanning four decades. The influence of environmental drivers on diversity change are also assessed. Our analysis informs a mechanistic interpretation of biodiversity change in the three dimensions of diversity. The accompanying freeware, iNEXT.3D, developed during this project, facilitates all computation and graphics.","author":[{"dropping-particle":"","family":"Chao","given":"Anne","non-dropping-particle":"","parse-names":false,"suffix":""},{"dropping-particle":"","family":"Henderson","given":"Peter A.","non-dropping-particle":"","parse-names":false,"suffix":""},{"dropping-particle":"","family":"Chiu","given":"Chun Huo","non-dropping-particle":"","parse-names":false,"suffix":""},{"dropping-particle":"","family":"Moyes","given":"Faye","non-dropping-particle":"","parse-names":false,"suffix":""},{"dropping-particle":"","family":"Hu","given":"Kai Hsiang","non-dropping-particle":"","parse-names":false,"suffix":""},{"dropping-particle":"","family":"Dornelas","given":"Maria","non-dropping-particle":"","parse-names":false,"suffix":""},{"dropping-particle":"","family":"Magurran","given":"Anne E.","non-dropping-particle":"","parse-names":false,"suffix":""}],"container-title":"Methods in Ecology and Evolution","id":"ITEM-1","issue":"10","issued":{"date-parts":[["2021"]]},"page":"1926-1940","title":"Measuring temporal change in alpha diversity: A framework integrating taxonomic, phylogenetic and functional diversity and the iNEXT.3D standardization","type":"article-journal","volume":"12"},"uris":["http://www.mendeley.com/documents/?uuid=6194e25a-55ed-4032-b8ba-069ffc8a3432"]}],"mendeley":{"formattedCitation":"(Chao et al., 2021)","plainTextFormattedCitation":"(Chao et al., 2021)","previouslyFormattedCitation":"(Chao et al., 2021)"},"properties":{"noteIndex":0},"schema":"https://github.com/citation-style-language/schema/raw/master/csl-citation.json"}</w:instrText>
      </w:r>
      <w:r w:rsidRPr="00057ADA">
        <w:rPr>
          <w:rFonts w:ascii="Times New Roman" w:hAnsi="Times New Roman" w:cs="Times New Roman"/>
          <w:sz w:val="24"/>
          <w:szCs w:val="24"/>
        </w:rPr>
        <w:fldChar w:fldCharType="separate"/>
      </w:r>
      <w:r w:rsidRPr="00057ADA">
        <w:rPr>
          <w:rFonts w:ascii="Times New Roman" w:hAnsi="Times New Roman" w:cs="Times New Roman"/>
          <w:noProof/>
          <w:sz w:val="24"/>
          <w:szCs w:val="24"/>
        </w:rPr>
        <w:t>(Chao et al., 2021)</w:t>
      </w:r>
      <w:r w:rsidRPr="00057ADA">
        <w:rPr>
          <w:rFonts w:ascii="Times New Roman" w:hAnsi="Times New Roman" w:cs="Times New Roman"/>
          <w:sz w:val="24"/>
          <w:szCs w:val="24"/>
        </w:rPr>
        <w:fldChar w:fldCharType="end"/>
      </w:r>
      <w:r w:rsidRPr="00057ADA">
        <w:rPr>
          <w:rFonts w:ascii="Times New Roman" w:hAnsi="Times New Roman" w:cs="Times New Roman"/>
          <w:sz w:val="24"/>
          <w:szCs w:val="24"/>
        </w:rPr>
        <w:t xml:space="preserve">. </w:t>
      </w:r>
      <w:r>
        <w:rPr>
          <w:rFonts w:ascii="Times New Roman" w:hAnsi="Times New Roman" w:cs="Times New Roman"/>
          <w:sz w:val="24"/>
          <w:szCs w:val="24"/>
        </w:rPr>
        <w:lastRenderedPageBreak/>
        <w:t>We used the data type ‘</w:t>
      </w:r>
      <w:proofErr w:type="spellStart"/>
      <w:r>
        <w:rPr>
          <w:rFonts w:ascii="Times New Roman" w:hAnsi="Times New Roman" w:cs="Times New Roman"/>
          <w:sz w:val="24"/>
          <w:szCs w:val="24"/>
        </w:rPr>
        <w:t>incidence_raw</w:t>
      </w:r>
      <w:proofErr w:type="spellEnd"/>
      <w:r>
        <w:rPr>
          <w:rFonts w:ascii="Times New Roman" w:hAnsi="Times New Roman" w:cs="Times New Roman"/>
          <w:sz w:val="24"/>
          <w:szCs w:val="24"/>
        </w:rPr>
        <w:t>’ (based on detection/non-detection in each audio file) and 999 bootstraps for assessing sampling uncertaint</w:t>
      </w:r>
      <w:r>
        <w:rPr>
          <w:rFonts w:ascii="Times New Roman" w:hAnsi="Times New Roman" w:cs="Times New Roman" w:hint="eastAsia"/>
          <w:sz w:val="24"/>
          <w:szCs w:val="24"/>
          <w:lang w:eastAsia="zh-TW"/>
        </w:rPr>
        <w:t>y</w:t>
      </w:r>
      <w:r>
        <w:rPr>
          <w:rFonts w:ascii="Times New Roman" w:hAnsi="Times New Roman" w:cs="Times New Roman"/>
          <w:sz w:val="24"/>
          <w:szCs w:val="24"/>
        </w:rPr>
        <w:t xml:space="preserve">. </w:t>
      </w:r>
    </w:p>
    <w:p w14:paraId="4F39FD13" w14:textId="77777777" w:rsidR="00ED6819" w:rsidRPr="00057ADA" w:rsidRDefault="00ED6819" w:rsidP="00B83545">
      <w:pPr>
        <w:spacing w:line="480" w:lineRule="auto"/>
        <w:jc w:val="both"/>
        <w:rPr>
          <w:rFonts w:ascii="Times New Roman" w:hAnsi="Times New Roman" w:cs="Times New Roman"/>
          <w:sz w:val="24"/>
          <w:szCs w:val="24"/>
        </w:rPr>
      </w:pPr>
      <w:r w:rsidRPr="00057ADA">
        <w:rPr>
          <w:rFonts w:ascii="Times New Roman" w:hAnsi="Times New Roman" w:cs="Times New Roman"/>
          <w:sz w:val="24"/>
          <w:szCs w:val="24"/>
        </w:rPr>
        <w:t>To analyse changes in sample coverage over the recovery gradient</w:t>
      </w:r>
      <w:r>
        <w:rPr>
          <w:rFonts w:ascii="Times New Roman" w:hAnsi="Times New Roman" w:cs="Times New Roman"/>
          <w:sz w:val="24"/>
          <w:szCs w:val="24"/>
        </w:rPr>
        <w:t>,</w:t>
      </w:r>
      <w:r w:rsidRPr="00057ADA">
        <w:rPr>
          <w:rFonts w:ascii="Times New Roman" w:hAnsi="Times New Roman" w:cs="Times New Roman"/>
          <w:sz w:val="24"/>
          <w:szCs w:val="24"/>
        </w:rPr>
        <w:t xml:space="preserve"> we extracted sample coverage values for each study plot from the </w:t>
      </w:r>
      <w:proofErr w:type="spellStart"/>
      <w:r w:rsidRPr="00057ADA">
        <w:rPr>
          <w:rFonts w:ascii="Times New Roman" w:hAnsi="Times New Roman" w:cs="Times New Roman"/>
          <w:sz w:val="24"/>
          <w:szCs w:val="24"/>
        </w:rPr>
        <w:t>iNEXT</w:t>
      </w:r>
      <w:proofErr w:type="spellEnd"/>
      <w:r w:rsidRPr="00057ADA">
        <w:rPr>
          <w:rFonts w:ascii="Times New Roman" w:hAnsi="Times New Roman" w:cs="Times New Roman"/>
          <w:sz w:val="24"/>
          <w:szCs w:val="24"/>
        </w:rPr>
        <w:t xml:space="preserve"> calculations and fitted linear models with the seven habitat types as ordered factors. To control for differences in sample coverage, we calculated estimated taxonomic, phylogenetic</w:t>
      </w:r>
      <w:r>
        <w:rPr>
          <w:rFonts w:ascii="Times New Roman" w:hAnsi="Times New Roman" w:cs="Times New Roman"/>
          <w:sz w:val="24"/>
          <w:szCs w:val="24"/>
        </w:rPr>
        <w:t>,</w:t>
      </w:r>
      <w:r w:rsidRPr="00057ADA">
        <w:rPr>
          <w:rFonts w:ascii="Times New Roman" w:hAnsi="Times New Roman" w:cs="Times New Roman"/>
          <w:sz w:val="24"/>
          <w:szCs w:val="24"/>
        </w:rPr>
        <w:t xml:space="preserve"> und functional diversity for all Hill numbers with the estimate3D function for a standardized sample </w:t>
      </w:r>
      <w:r w:rsidRPr="00606D55">
        <w:rPr>
          <w:rFonts w:ascii="Times New Roman" w:hAnsi="Times New Roman" w:cs="Times New Roman"/>
          <w:sz w:val="24"/>
          <w:szCs w:val="24"/>
        </w:rPr>
        <w:t xml:space="preserve">coverage of </w:t>
      </w:r>
      <w:r>
        <w:rPr>
          <w:rFonts w:ascii="Times New Roman" w:hAnsi="Times New Roman" w:cs="Times New Roman"/>
          <w:sz w:val="24"/>
          <w:szCs w:val="24"/>
        </w:rPr>
        <w:t>90</w:t>
      </w:r>
      <w:r w:rsidRPr="00606D55">
        <w:rPr>
          <w:rFonts w:ascii="Times New Roman" w:hAnsi="Times New Roman" w:cs="Times New Roman"/>
          <w:sz w:val="24"/>
          <w:szCs w:val="24"/>
        </w:rPr>
        <w:t>%</w:t>
      </w:r>
      <w:r>
        <w:rPr>
          <w:rFonts w:ascii="Times New Roman" w:hAnsi="Times New Roman" w:cs="Times New Roman"/>
          <w:sz w:val="24"/>
          <w:szCs w:val="24"/>
        </w:rPr>
        <w:t>,</w:t>
      </w:r>
      <w:r w:rsidRPr="00606D55">
        <w:rPr>
          <w:rFonts w:ascii="Times New Roman" w:hAnsi="Times New Roman" w:cs="Times New Roman"/>
          <w:sz w:val="24"/>
          <w:szCs w:val="24"/>
        </w:rPr>
        <w:t xml:space="preserve"> which can reliably be extrapolated</w:t>
      </w:r>
      <w:r>
        <w:rPr>
          <w:rFonts w:ascii="Times New Roman" w:hAnsi="Times New Roman" w:cs="Times New Roman"/>
          <w:sz w:val="24"/>
          <w:szCs w:val="24"/>
        </w:rPr>
        <w:t xml:space="preserve"> for 40% of the samples</w:t>
      </w:r>
      <w:r w:rsidRPr="00606D55">
        <w:rPr>
          <w:rFonts w:ascii="Times New Roman" w:hAnsi="Times New Roman" w:cs="Times New Roman"/>
          <w:sz w:val="24"/>
          <w:szCs w:val="24"/>
        </w:rPr>
        <w:t>.</w:t>
      </w:r>
      <w:r w:rsidRPr="00057ADA">
        <w:rPr>
          <w:rFonts w:ascii="Times New Roman" w:hAnsi="Times New Roman" w:cs="Times New Roman"/>
          <w:sz w:val="24"/>
          <w:szCs w:val="24"/>
        </w:rPr>
        <w:t xml:space="preserve"> </w:t>
      </w:r>
      <w:r>
        <w:rPr>
          <w:rFonts w:ascii="Times New Roman" w:hAnsi="Times New Roman" w:cs="Times New Roman"/>
          <w:sz w:val="24"/>
          <w:szCs w:val="24"/>
        </w:rPr>
        <w:t xml:space="preserve">To test the robustness of this approach, we also calculated diversity values for a sample coverage of 64%, the lowest sample coverage of twice the sample size (2n) in our data. The results are in Supplement S1 (Table S1.3) and the results are qualitatively identical to the results for a sample coverage of 90%. </w:t>
      </w:r>
    </w:p>
    <w:p w14:paraId="18A2FB82" w14:textId="77777777" w:rsidR="00ED6819" w:rsidRPr="00C44756" w:rsidRDefault="00ED6819" w:rsidP="00B83545">
      <w:pPr>
        <w:spacing w:line="480" w:lineRule="auto"/>
        <w:jc w:val="both"/>
        <w:rPr>
          <w:rFonts w:ascii="Times New Roman" w:hAnsi="Times New Roman" w:cs="Times New Roman"/>
          <w:sz w:val="24"/>
          <w:szCs w:val="24"/>
        </w:rPr>
      </w:pPr>
    </w:p>
    <w:p w14:paraId="0E53F94F" w14:textId="2DEE922D" w:rsidR="00CE6D99" w:rsidRPr="00D1280A" w:rsidRDefault="00D1280A" w:rsidP="00B83545">
      <w:pPr>
        <w:spacing w:line="480" w:lineRule="auto"/>
        <w:jc w:val="both"/>
        <w:rPr>
          <w:rFonts w:ascii="Times New Roman" w:hAnsi="Times New Roman" w:cs="Times New Roman"/>
          <w:i/>
          <w:iCs/>
          <w:sz w:val="24"/>
          <w:szCs w:val="24"/>
        </w:rPr>
      </w:pPr>
      <w:r w:rsidRPr="00D1280A">
        <w:rPr>
          <w:rFonts w:ascii="Times New Roman" w:hAnsi="Times New Roman" w:cs="Times New Roman"/>
          <w:i/>
          <w:iCs/>
          <w:sz w:val="24"/>
          <w:szCs w:val="24"/>
        </w:rPr>
        <w:t>Additional analyses of potential effects of surrounding habitats</w:t>
      </w:r>
    </w:p>
    <w:p w14:paraId="118DF528" w14:textId="05FFE935" w:rsidR="00D1280A" w:rsidRDefault="00D1280A" w:rsidP="00B83545">
      <w:pPr>
        <w:spacing w:line="480" w:lineRule="auto"/>
        <w:jc w:val="both"/>
        <w:rPr>
          <w:rFonts w:ascii="Times New Roman" w:hAnsi="Times New Roman" w:cs="Times New Roman"/>
          <w:sz w:val="24"/>
          <w:szCs w:val="24"/>
        </w:rPr>
      </w:pPr>
      <w:r w:rsidRPr="00057ADA">
        <w:rPr>
          <w:rFonts w:ascii="Times New Roman" w:hAnsi="Times New Roman" w:cs="Times New Roman"/>
          <w:sz w:val="24"/>
          <w:szCs w:val="24"/>
        </w:rPr>
        <w:t xml:space="preserve">As our study region is characterized by small-scale agricultural areas within a forest matrix, we must also consider </w:t>
      </w:r>
      <w:r>
        <w:rPr>
          <w:rFonts w:ascii="Times New Roman" w:hAnsi="Times New Roman" w:cs="Times New Roman"/>
          <w:sz w:val="24"/>
          <w:szCs w:val="24"/>
        </w:rPr>
        <w:t>potential</w:t>
      </w:r>
      <w:r w:rsidRPr="00057ADA">
        <w:rPr>
          <w:rFonts w:ascii="Times New Roman" w:hAnsi="Times New Roman" w:cs="Times New Roman"/>
          <w:sz w:val="24"/>
          <w:szCs w:val="24"/>
        </w:rPr>
        <w:t xml:space="preserve"> spillover effects, i.e.</w:t>
      </w:r>
      <w:r>
        <w:rPr>
          <w:rFonts w:ascii="Times New Roman" w:hAnsi="Times New Roman" w:cs="Times New Roman"/>
          <w:sz w:val="24"/>
          <w:szCs w:val="24"/>
        </w:rPr>
        <w:t>,</w:t>
      </w:r>
      <w:r w:rsidRPr="00057ADA">
        <w:rPr>
          <w:rFonts w:ascii="Times New Roman" w:hAnsi="Times New Roman" w:cs="Times New Roman"/>
          <w:sz w:val="24"/>
          <w:szCs w:val="24"/>
        </w:rPr>
        <w:t xml:space="preserve"> the movement of species </w:t>
      </w:r>
      <w:r>
        <w:rPr>
          <w:rFonts w:ascii="Times New Roman" w:hAnsi="Times New Roman" w:cs="Times New Roman"/>
          <w:sz w:val="24"/>
          <w:szCs w:val="24"/>
        </w:rPr>
        <w:t>among</w:t>
      </w:r>
      <w:r w:rsidRPr="00057ADA">
        <w:rPr>
          <w:rFonts w:ascii="Times New Roman" w:hAnsi="Times New Roman" w:cs="Times New Roman"/>
          <w:sz w:val="24"/>
          <w:szCs w:val="24"/>
        </w:rPr>
        <w:t xml:space="preserve"> habitat types. For example, species that predominantly use forest patches may also occur in agricultural patches for foraging or other reasons. </w:t>
      </w:r>
      <w:r>
        <w:rPr>
          <w:rFonts w:ascii="Times New Roman" w:hAnsi="Times New Roman" w:cs="Times New Roman"/>
          <w:sz w:val="24"/>
          <w:szCs w:val="24"/>
        </w:rPr>
        <w:t>R</w:t>
      </w:r>
      <w:r w:rsidRPr="00057ADA">
        <w:rPr>
          <w:rFonts w:ascii="Times New Roman" w:hAnsi="Times New Roman" w:cs="Times New Roman"/>
          <w:sz w:val="24"/>
          <w:szCs w:val="24"/>
        </w:rPr>
        <w:t>emnant trees</w:t>
      </w:r>
      <w:r>
        <w:rPr>
          <w:rFonts w:ascii="Times New Roman" w:hAnsi="Times New Roman" w:cs="Times New Roman"/>
          <w:sz w:val="24"/>
          <w:szCs w:val="24"/>
        </w:rPr>
        <w:t>, which are common</w:t>
      </w:r>
      <w:r w:rsidRPr="00057ADA">
        <w:rPr>
          <w:rFonts w:ascii="Times New Roman" w:hAnsi="Times New Roman" w:cs="Times New Roman"/>
          <w:sz w:val="24"/>
          <w:szCs w:val="24"/>
        </w:rPr>
        <w:t xml:space="preserve"> in agricultural plots</w:t>
      </w:r>
      <w:r>
        <w:rPr>
          <w:rFonts w:ascii="Times New Roman" w:hAnsi="Times New Roman" w:cs="Times New Roman"/>
          <w:sz w:val="24"/>
          <w:szCs w:val="24"/>
        </w:rPr>
        <w:t xml:space="preserve">, </w:t>
      </w:r>
      <w:r w:rsidRPr="00057ADA">
        <w:rPr>
          <w:rFonts w:ascii="Times New Roman" w:hAnsi="Times New Roman" w:cs="Times New Roman"/>
          <w:sz w:val="24"/>
          <w:szCs w:val="24"/>
        </w:rPr>
        <w:t>further support such a spillover. To analyse potential spill-over effects, we created a subset of species that occurred in pasture and cacao patches and a subset of species that occurred in old-growth patches. The agricultural subset included species that could</w:t>
      </w:r>
      <w:r>
        <w:rPr>
          <w:rFonts w:ascii="Times New Roman" w:hAnsi="Times New Roman" w:cs="Times New Roman"/>
          <w:sz w:val="24"/>
          <w:szCs w:val="24"/>
        </w:rPr>
        <w:t xml:space="preserve"> also</w:t>
      </w:r>
      <w:r w:rsidRPr="00057ADA">
        <w:rPr>
          <w:rFonts w:ascii="Times New Roman" w:hAnsi="Times New Roman" w:cs="Times New Roman"/>
          <w:sz w:val="24"/>
          <w:szCs w:val="24"/>
        </w:rPr>
        <w:t xml:space="preserve"> occur in a</w:t>
      </w:r>
      <w:r>
        <w:rPr>
          <w:rFonts w:ascii="Times New Roman" w:hAnsi="Times New Roman" w:cs="Times New Roman"/>
          <w:sz w:val="24"/>
          <w:szCs w:val="24"/>
        </w:rPr>
        <w:t>ny</w:t>
      </w:r>
      <w:r w:rsidRPr="00057ADA">
        <w:rPr>
          <w:rFonts w:ascii="Times New Roman" w:hAnsi="Times New Roman" w:cs="Times New Roman"/>
          <w:sz w:val="24"/>
          <w:szCs w:val="24"/>
        </w:rPr>
        <w:t xml:space="preserve"> other site but had to occur in at least one of the cacao and pasture sites. The same rule was applied to the old-growth subset. </w:t>
      </w:r>
      <w:r>
        <w:rPr>
          <w:rFonts w:ascii="Times New Roman" w:hAnsi="Times New Roman" w:cs="Times New Roman"/>
          <w:sz w:val="24"/>
          <w:szCs w:val="24"/>
        </w:rPr>
        <w:t xml:space="preserve">Furthermore, we </w:t>
      </w:r>
      <w:r w:rsidRPr="001547FD">
        <w:rPr>
          <w:rFonts w:ascii="Times New Roman" w:hAnsi="Times New Roman" w:cs="Times New Roman"/>
          <w:sz w:val="24"/>
          <w:szCs w:val="24"/>
        </w:rPr>
        <w:t xml:space="preserve">classified </w:t>
      </w:r>
      <w:r>
        <w:rPr>
          <w:rFonts w:ascii="Times New Roman" w:hAnsi="Times New Roman" w:cs="Times New Roman"/>
          <w:sz w:val="24"/>
          <w:szCs w:val="24"/>
        </w:rPr>
        <w:t xml:space="preserve">species </w:t>
      </w:r>
      <w:r w:rsidRPr="001547FD">
        <w:rPr>
          <w:rFonts w:ascii="Times New Roman" w:hAnsi="Times New Roman" w:cs="Times New Roman"/>
          <w:sz w:val="24"/>
          <w:szCs w:val="24"/>
        </w:rPr>
        <w:t xml:space="preserve">as old-growth </w:t>
      </w:r>
      <w:r>
        <w:rPr>
          <w:rFonts w:ascii="Times New Roman" w:hAnsi="Times New Roman" w:cs="Times New Roman"/>
          <w:sz w:val="24"/>
          <w:szCs w:val="24"/>
        </w:rPr>
        <w:t xml:space="preserve">or agriculture </w:t>
      </w:r>
      <w:r w:rsidRPr="001547FD">
        <w:rPr>
          <w:rFonts w:ascii="Times New Roman" w:hAnsi="Times New Roman" w:cs="Times New Roman"/>
          <w:sz w:val="24"/>
          <w:szCs w:val="24"/>
        </w:rPr>
        <w:t>specialists with the Classification Method (CLAM)</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{"citationItems":[{"id":"ITEM-1","itemData":{"DOI":"10.1890/10-1345.1","ISSN":"00129658","PMID":"21797161","abstract":"We develop a novel statistical approach for classifying generalists and specialists in two distinct habitats. Using a multinomial model based on estimated species relative abundance in two habitats, our method minimizes bias due to differences in sampling intensities between two habitat types as well as bias due to insufficient sampling within each habitat. The method permits a robust statistical classification of habitat specialists and generalists, without excluding rare species a priori. Based on a user-defined specialization threshold, the model classifies species into one of four groups: (1) generalist; (2) habitat A specialist; (3) habitat B specialist; and (4) too rare to classify with confidence. We illustrate our multinomial classification method using two contrasting data sets: (1) bird abundance in woodland and heath habitats in southeastern Australia and (2) tree abundance in secondgrowth (SG) and old-growth (OG) rain forests in the Caribbean lowlands of northeastern Costa Rica. We evaluate the multinomial model in detail for the tree data set. Our results for birds were highly concordant with a previous nonstatistical classification, but our method classified a higher fraction (57.7%) of bird species with statistical confidence. Based on a conservative specialization threshold and adjustment for multiple comparisons, 64.4% of tree species in the full sample were too rare to classify with confidence. Among the species classified, OG specialists constituted the largest class (40.6%), followed by generalist tree species (36.7%) and SG specialists (22.7%). The multinomial model was more sensitive than indicator value analysis or abundance-based phi coefficient indices in detecting habitat specialists and also detects generalists statistically. Classification of specialists and generalists based on rarefied subsamples was highly consistent with classification based on the full sample, even for sampling percentages as low as 20%. Major advantages of the new method are (1) its ability to distinguish habitat generalists (species with no significant habitat affinity) from species that are simply too rare to classify and (2) applicability to a single representative sample or a single pooled set of representative samples from each of two habitat types. The method as currently developed can be applied to no more than two habitats at a time. © 2011 by the Ecological Society of America.","author":[{"dropping-particle":"","family":"Chazdon","given":"Robin L.","non-dropping-particle":"","parse-names":false,"suffix":""},{"dropping-particle":"","family":"Chao","given":"Anne","non-dropping-particle":"","parse-names":false,"suffix":""},{"dropping-particle":"","family":"Colwell","given":"Robert K.","non-dropping-particle":"","parse-names":false,"suffix":""},{"dropping-particle":"","family":"Lin","given":"Shang Yi","non-dropping-particle":"","parse-names":false,"suffix":""},{"dropping-particle":"","family":"Norden","given":"Natalia","non-dropping-particle":"","parse-names":false,"suffix":""},{"dropping-particle":"","family":"Letcher","given":"Susan G.","non-dropping-particle":"","parse-names":false,"suffix":""},{"dropping-particle":"","family":"Clark","given":"David B.","non-dropping-particle":"","parse-names":false,"suffix":""},{"dropping-particle":"","family":"Finegan","given":"Bryan","non-dropping-particle":"","parse-names":false,"suffix":""},{"dropping-particle":"","family":"Arroyo","given":"J. Pablo","non-dropping-particle":"","parse-names":false,"suffix":""}],"container-title":"Ecology","id":"ITEM-1","issue":"6","issued":{"date-parts":[["2011"]]},"page":"1332-1343","title":"A novel statistical method for classifying habitat generalists and specialists","type":"article-journal","volume":"92"},"uris":["http://www.mendeley.com/documents/?uuid=35db0f01-c176-4106-a436-6330b9b8c19a"]}],"mendeley":{"formattedCitation":"(Chazdon et al., 2011)","plainTextFormattedCitation":"(Chazdon et al., 2011)","previouslyFormattedCitation":"(Chazdon et al., 2011)"},"properties":{"noteIndex":0},"schema":"https://github.com/citation-style-language/schema/raw/master/csl-citation.json"}</w:instrText>
      </w:r>
      <w:r>
        <w:rPr>
          <w:rFonts w:ascii="Times New Roman" w:hAnsi="Times New Roman" w:cs="Times New Roman"/>
          <w:sz w:val="24"/>
          <w:szCs w:val="24"/>
        </w:rPr>
        <w:fldChar w:fldCharType="separate"/>
      </w:r>
      <w:r w:rsidRPr="001547FD">
        <w:rPr>
          <w:rFonts w:ascii="Times New Roman" w:hAnsi="Times New Roman" w:cs="Times New Roman"/>
          <w:noProof/>
          <w:sz w:val="24"/>
          <w:szCs w:val="24"/>
        </w:rPr>
        <w:t>(Chazdon et al., 2011)</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1547FD">
        <w:rPr>
          <w:rFonts w:ascii="Times New Roman" w:hAnsi="Times New Roman" w:cs="Times New Roman"/>
          <w:sz w:val="24"/>
          <w:szCs w:val="24"/>
        </w:rPr>
        <w:t>with a significance level of 0.005 and a specialisation threshold of 0.667</w:t>
      </w:r>
      <w:r>
        <w:rPr>
          <w:rFonts w:ascii="Times New Roman" w:hAnsi="Times New Roman" w:cs="Times New Roman"/>
          <w:sz w:val="24"/>
          <w:szCs w:val="24"/>
        </w:rPr>
        <w:t xml:space="preserve">. </w:t>
      </w:r>
      <w:r w:rsidRPr="00057ADA">
        <w:rPr>
          <w:rFonts w:ascii="Times New Roman" w:hAnsi="Times New Roman" w:cs="Times New Roman"/>
          <w:sz w:val="24"/>
          <w:szCs w:val="24"/>
        </w:rPr>
        <w:t xml:space="preserve">We modelled the species numbers of both subsets along the recovery gradient with linear models to analyse the occurrence of species using forest </w:t>
      </w:r>
      <w:r w:rsidRPr="00057ADA">
        <w:rPr>
          <w:rFonts w:ascii="Times New Roman" w:hAnsi="Times New Roman" w:cs="Times New Roman"/>
          <w:sz w:val="24"/>
          <w:szCs w:val="24"/>
        </w:rPr>
        <w:lastRenderedPageBreak/>
        <w:t xml:space="preserve">and agricultural patches, respectively, along the recovery gradient. </w:t>
      </w:r>
      <w:bookmarkStart w:id="4" w:name="_Hlk170722799"/>
      <w:r>
        <w:rPr>
          <w:rFonts w:ascii="Times New Roman" w:hAnsi="Times New Roman" w:cs="Times New Roman"/>
          <w:sz w:val="24"/>
          <w:szCs w:val="24"/>
        </w:rPr>
        <w:t xml:space="preserve">Furthermore, to analyse the impact of very loud species that could be heard from adjacent patches (Supplement S2), we repeated our analyses after exclusion of 21 species that were classified as 'loud', that is, species that can be heard over a couple of hundred metres. </w:t>
      </w:r>
      <w:bookmarkStart w:id="5" w:name="_Hlk170723047"/>
      <w:r>
        <w:rPr>
          <w:rFonts w:ascii="Times New Roman" w:hAnsi="Times New Roman" w:cs="Times New Roman"/>
          <w:sz w:val="24"/>
          <w:szCs w:val="24"/>
        </w:rPr>
        <w:t xml:space="preserve">The exclusion of these loud species </w:t>
      </w:r>
      <w:r w:rsidRPr="009F4D40">
        <w:rPr>
          <w:rFonts w:ascii="Times New Roman" w:hAnsi="Times New Roman" w:cs="Times New Roman"/>
          <w:sz w:val="24"/>
          <w:szCs w:val="24"/>
        </w:rPr>
        <w:t>did not have noticeable impact</w:t>
      </w:r>
      <w:r w:rsidRPr="009F4D40" w:rsidDel="009F4D40">
        <w:rPr>
          <w:rFonts w:ascii="Times New Roman" w:hAnsi="Times New Roman" w:cs="Times New Roman"/>
          <w:sz w:val="24"/>
          <w:szCs w:val="24"/>
        </w:rPr>
        <w:t xml:space="preserve"> </w:t>
      </w:r>
      <w:r>
        <w:rPr>
          <w:rFonts w:ascii="Times New Roman" w:hAnsi="Times New Roman" w:cs="Times New Roman"/>
          <w:sz w:val="24"/>
          <w:szCs w:val="24"/>
        </w:rPr>
        <w:t>on the observed patterns (Supplement S1, Fig. S1.6)</w:t>
      </w:r>
      <w:bookmarkEnd w:id="5"/>
      <w:r>
        <w:rPr>
          <w:rFonts w:ascii="Times New Roman" w:hAnsi="Times New Roman" w:cs="Times New Roman"/>
          <w:sz w:val="24"/>
          <w:szCs w:val="24"/>
        </w:rPr>
        <w:t xml:space="preserve">. </w:t>
      </w:r>
    </w:p>
    <w:p w14:paraId="21240605" w14:textId="491C0574" w:rsidR="00D1280A" w:rsidRPr="00057ADA" w:rsidRDefault="00D1280A" w:rsidP="00B83545">
      <w:pPr>
        <w:spacing w:line="480" w:lineRule="auto"/>
        <w:jc w:val="both"/>
        <w:rPr>
          <w:rFonts w:ascii="Times New Roman" w:hAnsi="Times New Roman" w:cs="Times New Roman"/>
          <w:sz w:val="24"/>
          <w:szCs w:val="24"/>
        </w:rPr>
      </w:pPr>
      <w:r w:rsidRPr="00057ADA">
        <w:rPr>
          <w:rFonts w:ascii="Times New Roman" w:hAnsi="Times New Roman" w:cs="Times New Roman"/>
          <w:sz w:val="24"/>
          <w:szCs w:val="24"/>
        </w:rPr>
        <w:t>The number of species in the pasture and cacao subset decreased significantly along the recovery gradient with a median of 41 species in pasture and 47 in cacao, and only 18 in old</w:t>
      </w:r>
      <w:r>
        <w:rPr>
          <w:rFonts w:ascii="Times New Roman" w:hAnsi="Times New Roman" w:cs="Times New Roman"/>
          <w:sz w:val="24"/>
          <w:szCs w:val="24"/>
        </w:rPr>
        <w:t xml:space="preserve"> </w:t>
      </w:r>
      <w:r w:rsidRPr="00057ADA">
        <w:rPr>
          <w:rFonts w:ascii="Times New Roman" w:hAnsi="Times New Roman" w:cs="Times New Roman"/>
          <w:sz w:val="24"/>
          <w:szCs w:val="24"/>
        </w:rPr>
        <w:t>growth (Fig. S</w:t>
      </w:r>
      <w:r>
        <w:rPr>
          <w:rFonts w:ascii="Times New Roman" w:hAnsi="Times New Roman" w:cs="Times New Roman"/>
          <w:sz w:val="24"/>
          <w:szCs w:val="24"/>
        </w:rPr>
        <w:t>1.</w:t>
      </w:r>
      <w:r w:rsidRPr="00057ADA">
        <w:rPr>
          <w:rFonts w:ascii="Times New Roman" w:hAnsi="Times New Roman" w:cs="Times New Roman"/>
          <w:sz w:val="24"/>
          <w:szCs w:val="24"/>
        </w:rPr>
        <w:t xml:space="preserve">2 a).  </w:t>
      </w:r>
      <w:bookmarkStart w:id="6" w:name="_Hlk173491789"/>
      <w:r w:rsidRPr="00057ADA">
        <w:rPr>
          <w:rFonts w:ascii="Times New Roman" w:hAnsi="Times New Roman" w:cs="Times New Roman"/>
          <w:sz w:val="24"/>
          <w:szCs w:val="24"/>
        </w:rPr>
        <w:t>The number of species in the old-growth subset increased slightly along the gradient with a median of 20 and 21 species in pasture and cacao</w:t>
      </w:r>
      <w:r>
        <w:rPr>
          <w:rFonts w:ascii="Times New Roman" w:hAnsi="Times New Roman" w:cs="Times New Roman"/>
          <w:sz w:val="24"/>
          <w:szCs w:val="24"/>
        </w:rPr>
        <w:t>,</w:t>
      </w:r>
      <w:r w:rsidRPr="00057ADA">
        <w:rPr>
          <w:rFonts w:ascii="Times New Roman" w:hAnsi="Times New Roman" w:cs="Times New Roman"/>
          <w:sz w:val="24"/>
          <w:szCs w:val="24"/>
        </w:rPr>
        <w:t xml:space="preserve"> respectively, and 22 in old</w:t>
      </w:r>
      <w:r>
        <w:rPr>
          <w:rFonts w:ascii="Times New Roman" w:hAnsi="Times New Roman" w:cs="Times New Roman"/>
          <w:sz w:val="24"/>
          <w:szCs w:val="24"/>
        </w:rPr>
        <w:t xml:space="preserve"> </w:t>
      </w:r>
      <w:r w:rsidRPr="00057ADA">
        <w:rPr>
          <w:rFonts w:ascii="Times New Roman" w:hAnsi="Times New Roman" w:cs="Times New Roman"/>
          <w:sz w:val="24"/>
          <w:szCs w:val="24"/>
        </w:rPr>
        <w:t>growth (Fig. S</w:t>
      </w:r>
      <w:r>
        <w:rPr>
          <w:rFonts w:ascii="Times New Roman" w:hAnsi="Times New Roman" w:cs="Times New Roman"/>
          <w:sz w:val="24"/>
          <w:szCs w:val="24"/>
        </w:rPr>
        <w:t>1.</w:t>
      </w:r>
      <w:r w:rsidRPr="00057ADA">
        <w:rPr>
          <w:rFonts w:ascii="Times New Roman" w:hAnsi="Times New Roman" w:cs="Times New Roman"/>
          <w:sz w:val="24"/>
          <w:szCs w:val="24"/>
        </w:rPr>
        <w:t xml:space="preserve">2 b). </w:t>
      </w:r>
      <w:bookmarkStart w:id="7" w:name="_Hlk185581446"/>
      <w:r>
        <w:rPr>
          <w:rFonts w:ascii="Times New Roman" w:hAnsi="Times New Roman" w:cs="Times New Roman"/>
          <w:sz w:val="24"/>
          <w:szCs w:val="24"/>
        </w:rPr>
        <w:t xml:space="preserve">The number of forest species based on AVONET showed no significant change along the gradient (Fig. S1.3). </w:t>
      </w:r>
      <w:bookmarkEnd w:id="7"/>
      <w:r>
        <w:rPr>
          <w:rFonts w:ascii="Times New Roman" w:hAnsi="Times New Roman" w:cs="Times New Roman"/>
          <w:sz w:val="24"/>
          <w:szCs w:val="24"/>
        </w:rPr>
        <w:t xml:space="preserve">We classified five species as old-growth specialists and 18 species as agriculture specialists (Fig. S1.4) showing that avian preferences for specific habitats were comparatively low despite the turnover in community composition along the recovery gradient. </w:t>
      </w:r>
      <w:r w:rsidR="00DB5A1B">
        <w:rPr>
          <w:rFonts w:ascii="Times New Roman" w:hAnsi="Times New Roman" w:cs="Times New Roman"/>
          <w:sz w:val="24"/>
          <w:szCs w:val="24"/>
        </w:rPr>
        <w:t xml:space="preserve">A table with species incidences per habitat category can be found in Supplement 2 below the bird traits. </w:t>
      </w:r>
    </w:p>
    <w:bookmarkEnd w:id="6"/>
    <w:bookmarkEnd w:id="4"/>
    <w:p w14:paraId="28D30E83" w14:textId="40FF2E38" w:rsidR="00C61C4E" w:rsidRDefault="00C61C4E">
      <w:pPr>
        <w:rPr>
          <w:rFonts w:ascii="Times New Roman" w:hAnsi="Times New Roman" w:cs="Times New Roman"/>
          <w:sz w:val="24"/>
          <w:szCs w:val="24"/>
        </w:rPr>
      </w:pPr>
      <w:r>
        <w:rPr>
          <w:rFonts w:ascii="Times New Roman" w:hAnsi="Times New Roman" w:cs="Times New Roman"/>
          <w:sz w:val="24"/>
          <w:szCs w:val="24"/>
        </w:rPr>
        <w:br w:type="page"/>
      </w:r>
    </w:p>
    <w:p w14:paraId="565F371E" w14:textId="77777777" w:rsidR="00C61C4E" w:rsidRDefault="00C61C4E" w:rsidP="00C61C4E">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REFERENCES</w:t>
      </w:r>
    </w:p>
    <w:p w14:paraId="1DD269B2" w14:textId="77777777" w:rsidR="00C61C4E" w:rsidRDefault="00C61C4E" w:rsidP="00C61C4E">
      <w:pPr>
        <w:spacing w:line="480" w:lineRule="auto"/>
        <w:ind w:left="709" w:hanging="709"/>
        <w:jc w:val="both"/>
        <w:rPr>
          <w:rFonts w:ascii="Times New Roman" w:hAnsi="Times New Roman" w:cs="Times New Roman"/>
          <w:sz w:val="24"/>
          <w:szCs w:val="24"/>
        </w:rPr>
      </w:pPr>
      <w:r w:rsidRPr="00473CD6">
        <w:rPr>
          <w:rFonts w:ascii="Times New Roman" w:hAnsi="Times New Roman" w:cs="Times New Roman"/>
          <w:sz w:val="24"/>
          <w:szCs w:val="24"/>
        </w:rPr>
        <w:t xml:space="preserve">Chao, A., Henderson, P. A., Chiu, C. H., Moyes, F., Hu, K. H., Dornelas, M., &amp; </w:t>
      </w:r>
      <w:proofErr w:type="spellStart"/>
      <w:r w:rsidRPr="00473CD6">
        <w:rPr>
          <w:rFonts w:ascii="Times New Roman" w:hAnsi="Times New Roman" w:cs="Times New Roman"/>
          <w:sz w:val="24"/>
          <w:szCs w:val="24"/>
        </w:rPr>
        <w:t>Magurran</w:t>
      </w:r>
      <w:proofErr w:type="spellEnd"/>
      <w:r w:rsidRPr="00473CD6">
        <w:rPr>
          <w:rFonts w:ascii="Times New Roman" w:hAnsi="Times New Roman" w:cs="Times New Roman"/>
          <w:sz w:val="24"/>
          <w:szCs w:val="24"/>
        </w:rPr>
        <w:t xml:space="preserve">, A. E. (2021). Measuring temporal change in alpha diversity: A framework integrating taxonomic, phylogenetic and functional diversity and the </w:t>
      </w:r>
      <w:proofErr w:type="spellStart"/>
      <w:r w:rsidRPr="00473CD6">
        <w:rPr>
          <w:rFonts w:ascii="Times New Roman" w:hAnsi="Times New Roman" w:cs="Times New Roman"/>
          <w:sz w:val="24"/>
          <w:szCs w:val="24"/>
        </w:rPr>
        <w:t>iNEXT</w:t>
      </w:r>
      <w:proofErr w:type="spellEnd"/>
      <w:r w:rsidRPr="00473CD6">
        <w:rPr>
          <w:rFonts w:ascii="Times New Roman" w:hAnsi="Times New Roman" w:cs="Times New Roman"/>
          <w:sz w:val="24"/>
          <w:szCs w:val="24"/>
        </w:rPr>
        <w:t xml:space="preserve">. 3D standardization. Methods in Ecology and Evolution, 12(10), 1926-1940. </w:t>
      </w:r>
      <w:r w:rsidRPr="000F3BFF">
        <w:rPr>
          <w:rFonts w:ascii="Times New Roman" w:hAnsi="Times New Roman" w:cs="Times New Roman"/>
          <w:sz w:val="24"/>
          <w:szCs w:val="24"/>
        </w:rPr>
        <w:t>https://doi.org/10.1111/2041-210X.13682</w:t>
      </w:r>
    </w:p>
    <w:p w14:paraId="2C2D8571" w14:textId="77777777" w:rsidR="00C61C4E" w:rsidRPr="000F3BFF" w:rsidRDefault="00C61C4E" w:rsidP="00C61C4E">
      <w:pPr>
        <w:spacing w:line="480" w:lineRule="auto"/>
        <w:ind w:left="709" w:hanging="709"/>
        <w:jc w:val="both"/>
        <w:rPr>
          <w:rFonts w:ascii="Times New Roman" w:hAnsi="Times New Roman" w:cs="Times New Roman"/>
          <w:sz w:val="24"/>
          <w:szCs w:val="24"/>
          <w:lang w:val="de-DE"/>
        </w:rPr>
      </w:pPr>
      <w:r w:rsidRPr="00473CD6">
        <w:rPr>
          <w:rFonts w:ascii="Times New Roman" w:hAnsi="Times New Roman" w:cs="Times New Roman"/>
          <w:sz w:val="24"/>
          <w:szCs w:val="24"/>
        </w:rPr>
        <w:t>Chazdon, R. L., Chao, A., Colwell, R. K., Lin, S. Y., Norden, N., Letcher, S. G., Clark, D. B., Finegan, B., &amp; Arroyo, J. P. (2011). A novel statistical method for classifying habitat generalists and specialists. </w:t>
      </w:r>
      <w:r w:rsidRPr="00C61C4E">
        <w:rPr>
          <w:rFonts w:ascii="Times New Roman" w:hAnsi="Times New Roman" w:cs="Times New Roman"/>
          <w:i/>
          <w:iCs/>
          <w:sz w:val="24"/>
          <w:szCs w:val="24"/>
          <w:lang w:val="de-DE"/>
        </w:rPr>
        <w:t>Ecology</w:t>
      </w:r>
      <w:r w:rsidRPr="00C61C4E">
        <w:rPr>
          <w:rFonts w:ascii="Times New Roman" w:hAnsi="Times New Roman" w:cs="Times New Roman"/>
          <w:sz w:val="24"/>
          <w:szCs w:val="24"/>
          <w:lang w:val="de-DE"/>
        </w:rPr>
        <w:t>, </w:t>
      </w:r>
      <w:r w:rsidRPr="00C61C4E">
        <w:rPr>
          <w:rFonts w:ascii="Times New Roman" w:hAnsi="Times New Roman" w:cs="Times New Roman"/>
          <w:i/>
          <w:iCs/>
          <w:sz w:val="24"/>
          <w:szCs w:val="24"/>
          <w:lang w:val="de-DE"/>
        </w:rPr>
        <w:t>92</w:t>
      </w:r>
      <w:r w:rsidRPr="00C61C4E">
        <w:rPr>
          <w:rFonts w:ascii="Times New Roman" w:hAnsi="Times New Roman" w:cs="Times New Roman"/>
          <w:sz w:val="24"/>
          <w:szCs w:val="24"/>
          <w:lang w:val="de-DE"/>
        </w:rPr>
        <w:t xml:space="preserve">(6), 1332–1343. </w:t>
      </w:r>
      <w:r w:rsidRPr="000F3BFF">
        <w:rPr>
          <w:rFonts w:ascii="Times New Roman" w:hAnsi="Times New Roman" w:cs="Times New Roman"/>
          <w:sz w:val="24"/>
          <w:szCs w:val="24"/>
          <w:lang w:val="de-DE"/>
        </w:rPr>
        <w:t>https://doi.org/10.1890/10-1345.1</w:t>
      </w:r>
    </w:p>
    <w:p w14:paraId="6965073B" w14:textId="77777777" w:rsidR="00C61C4E" w:rsidRDefault="00C61C4E" w:rsidP="00C61C4E">
      <w:pPr>
        <w:spacing w:line="480" w:lineRule="auto"/>
        <w:ind w:left="709" w:hanging="709"/>
        <w:jc w:val="both"/>
        <w:rPr>
          <w:rFonts w:ascii="Times New Roman" w:hAnsi="Times New Roman" w:cs="Times New Roman"/>
          <w:sz w:val="24"/>
          <w:szCs w:val="24"/>
        </w:rPr>
      </w:pPr>
      <w:r w:rsidRPr="00473CD6">
        <w:rPr>
          <w:rFonts w:ascii="Times New Roman" w:hAnsi="Times New Roman" w:cs="Times New Roman"/>
          <w:sz w:val="24"/>
          <w:szCs w:val="24"/>
          <w:lang w:val="de-DE"/>
        </w:rPr>
        <w:t xml:space="preserve">Hagge, J., Müller, J., </w:t>
      </w:r>
      <w:proofErr w:type="spellStart"/>
      <w:r w:rsidRPr="00473CD6">
        <w:rPr>
          <w:rFonts w:ascii="Times New Roman" w:hAnsi="Times New Roman" w:cs="Times New Roman"/>
          <w:sz w:val="24"/>
          <w:szCs w:val="24"/>
          <w:lang w:val="de-DE"/>
        </w:rPr>
        <w:t>Birkemoe</w:t>
      </w:r>
      <w:proofErr w:type="spellEnd"/>
      <w:r w:rsidRPr="00473CD6">
        <w:rPr>
          <w:rFonts w:ascii="Times New Roman" w:hAnsi="Times New Roman" w:cs="Times New Roman"/>
          <w:sz w:val="24"/>
          <w:szCs w:val="24"/>
          <w:lang w:val="de-DE"/>
        </w:rPr>
        <w:t xml:space="preserve">, T., Buse, J., </w:t>
      </w:r>
      <w:proofErr w:type="spellStart"/>
      <w:r w:rsidRPr="00473CD6">
        <w:rPr>
          <w:rFonts w:ascii="Times New Roman" w:hAnsi="Times New Roman" w:cs="Times New Roman"/>
          <w:sz w:val="24"/>
          <w:szCs w:val="24"/>
          <w:lang w:val="de-DE"/>
        </w:rPr>
        <w:t>Gossner</w:t>
      </w:r>
      <w:proofErr w:type="spellEnd"/>
      <w:r w:rsidRPr="00473CD6">
        <w:rPr>
          <w:rFonts w:ascii="Times New Roman" w:hAnsi="Times New Roman" w:cs="Times New Roman"/>
          <w:sz w:val="24"/>
          <w:szCs w:val="24"/>
          <w:lang w:val="de-DE"/>
        </w:rPr>
        <w:t xml:space="preserve">, M. M., Gruppe, A., ... </w:t>
      </w:r>
      <w:r w:rsidRPr="00473CD6">
        <w:rPr>
          <w:rFonts w:ascii="Times New Roman" w:hAnsi="Times New Roman" w:cs="Times New Roman"/>
          <w:sz w:val="24"/>
          <w:szCs w:val="24"/>
        </w:rPr>
        <w:t>&amp; Drag, L. (2021). What does a threatened saproxylic beetle look like? Modelling extinction risk using a new morphological trait database. </w:t>
      </w:r>
      <w:r w:rsidRPr="00473CD6">
        <w:rPr>
          <w:rFonts w:ascii="Times New Roman" w:hAnsi="Times New Roman" w:cs="Times New Roman"/>
          <w:i/>
          <w:iCs/>
          <w:sz w:val="24"/>
          <w:szCs w:val="24"/>
        </w:rPr>
        <w:t>The Journal of Animal Ecology</w:t>
      </w:r>
      <w:r w:rsidRPr="00473CD6">
        <w:rPr>
          <w:rFonts w:ascii="Times New Roman" w:hAnsi="Times New Roman" w:cs="Times New Roman"/>
          <w:sz w:val="24"/>
          <w:szCs w:val="24"/>
        </w:rPr>
        <w:t>, </w:t>
      </w:r>
      <w:r w:rsidRPr="00473CD6">
        <w:rPr>
          <w:rFonts w:ascii="Times New Roman" w:hAnsi="Times New Roman" w:cs="Times New Roman"/>
          <w:i/>
          <w:iCs/>
          <w:sz w:val="24"/>
          <w:szCs w:val="24"/>
        </w:rPr>
        <w:t>90</w:t>
      </w:r>
      <w:r w:rsidRPr="00473CD6">
        <w:rPr>
          <w:rFonts w:ascii="Times New Roman" w:hAnsi="Times New Roman" w:cs="Times New Roman"/>
          <w:sz w:val="24"/>
          <w:szCs w:val="24"/>
        </w:rPr>
        <w:t>(8), 1934-1947.</w:t>
      </w:r>
      <w:r>
        <w:rPr>
          <w:rFonts w:ascii="Times New Roman" w:hAnsi="Times New Roman" w:cs="Times New Roman"/>
          <w:sz w:val="24"/>
          <w:szCs w:val="24"/>
        </w:rPr>
        <w:t xml:space="preserve"> </w:t>
      </w:r>
      <w:r w:rsidRPr="000F3BFF">
        <w:rPr>
          <w:rFonts w:ascii="Times New Roman" w:hAnsi="Times New Roman" w:cs="Times New Roman"/>
          <w:sz w:val="24"/>
          <w:szCs w:val="24"/>
        </w:rPr>
        <w:t>https://doi.org/10.1111/1365-2656.13512</w:t>
      </w:r>
    </w:p>
    <w:p w14:paraId="63D351B3" w14:textId="77777777" w:rsidR="00C61C4E" w:rsidRPr="001D1501" w:rsidRDefault="00C61C4E" w:rsidP="00C61C4E">
      <w:pPr>
        <w:widowControl w:val="0"/>
        <w:autoSpaceDE w:val="0"/>
        <w:autoSpaceDN w:val="0"/>
        <w:adjustRightInd w:val="0"/>
        <w:spacing w:before="240" w:line="480" w:lineRule="auto"/>
        <w:ind w:left="480" w:hanging="480"/>
        <w:rPr>
          <w:rFonts w:ascii="Times New Roman" w:hAnsi="Times New Roman" w:cs="Times New Roman"/>
          <w:noProof/>
          <w:kern w:val="0"/>
          <w:sz w:val="24"/>
          <w:szCs w:val="24"/>
        </w:rPr>
      </w:pPr>
      <w:r w:rsidRPr="001D1501">
        <w:rPr>
          <w:rFonts w:ascii="Times New Roman" w:hAnsi="Times New Roman" w:cs="Times New Roman"/>
          <w:noProof/>
          <w:kern w:val="0"/>
          <w:sz w:val="24"/>
          <w:szCs w:val="24"/>
        </w:rPr>
        <w:t xml:space="preserve">Jetz, W., Thomas, G. H., Joy, J. B., Hartmann, K., &amp; Mooers, A. O. (2012). The global diversity of birds in space and time. </w:t>
      </w:r>
      <w:r w:rsidRPr="001D1501">
        <w:rPr>
          <w:rFonts w:ascii="Times New Roman" w:hAnsi="Times New Roman" w:cs="Times New Roman"/>
          <w:i/>
          <w:iCs/>
          <w:noProof/>
          <w:kern w:val="0"/>
          <w:sz w:val="24"/>
          <w:szCs w:val="24"/>
        </w:rPr>
        <w:t>Nature</w:t>
      </w:r>
      <w:r w:rsidRPr="001D1501">
        <w:rPr>
          <w:rFonts w:ascii="Times New Roman" w:hAnsi="Times New Roman" w:cs="Times New Roman"/>
          <w:noProof/>
          <w:kern w:val="0"/>
          <w:sz w:val="24"/>
          <w:szCs w:val="24"/>
        </w:rPr>
        <w:t xml:space="preserve">, </w:t>
      </w:r>
      <w:r w:rsidRPr="001D1501">
        <w:rPr>
          <w:rFonts w:ascii="Times New Roman" w:hAnsi="Times New Roman" w:cs="Times New Roman"/>
          <w:i/>
          <w:iCs/>
          <w:noProof/>
          <w:kern w:val="0"/>
          <w:sz w:val="24"/>
          <w:szCs w:val="24"/>
        </w:rPr>
        <w:t>491</w:t>
      </w:r>
      <w:r w:rsidRPr="001D1501">
        <w:rPr>
          <w:rFonts w:ascii="Times New Roman" w:hAnsi="Times New Roman" w:cs="Times New Roman"/>
          <w:noProof/>
          <w:kern w:val="0"/>
          <w:sz w:val="24"/>
          <w:szCs w:val="24"/>
        </w:rPr>
        <w:t>(7424), 444–448. https://doi.org/10.1038/nature11631</w:t>
      </w:r>
    </w:p>
    <w:p w14:paraId="3CF2361D" w14:textId="77777777" w:rsidR="00C61C4E" w:rsidRPr="000F3BFF" w:rsidRDefault="00C61C4E" w:rsidP="00C61C4E">
      <w:pPr>
        <w:widowControl w:val="0"/>
        <w:autoSpaceDE w:val="0"/>
        <w:autoSpaceDN w:val="0"/>
        <w:adjustRightInd w:val="0"/>
        <w:spacing w:before="240" w:line="480" w:lineRule="auto"/>
        <w:ind w:left="480" w:hanging="480"/>
        <w:rPr>
          <w:rFonts w:ascii="Times New Roman" w:hAnsi="Times New Roman" w:cs="Times New Roman"/>
          <w:noProof/>
          <w:kern w:val="0"/>
          <w:sz w:val="24"/>
          <w:szCs w:val="24"/>
          <w:lang w:val="de-DE"/>
        </w:rPr>
      </w:pPr>
      <w:r w:rsidRPr="001D1501">
        <w:rPr>
          <w:rFonts w:ascii="Times New Roman" w:hAnsi="Times New Roman" w:cs="Times New Roman"/>
          <w:noProof/>
          <w:kern w:val="0"/>
          <w:sz w:val="24"/>
          <w:szCs w:val="24"/>
        </w:rPr>
        <w:t xml:space="preserve">Jin, Y., &amp; Qian, H. (2023). U.PhyloMaker: An R package that can generate large phylogenetic trees for plants and animals. </w:t>
      </w:r>
      <w:r w:rsidRPr="001D1501">
        <w:rPr>
          <w:rFonts w:ascii="Times New Roman" w:hAnsi="Times New Roman" w:cs="Times New Roman"/>
          <w:i/>
          <w:iCs/>
          <w:noProof/>
          <w:kern w:val="0"/>
          <w:sz w:val="24"/>
          <w:szCs w:val="24"/>
        </w:rPr>
        <w:t>Plant Diversity</w:t>
      </w:r>
      <w:r w:rsidRPr="001D1501">
        <w:rPr>
          <w:rFonts w:ascii="Times New Roman" w:hAnsi="Times New Roman" w:cs="Times New Roman"/>
          <w:noProof/>
          <w:kern w:val="0"/>
          <w:sz w:val="24"/>
          <w:szCs w:val="24"/>
        </w:rPr>
        <w:t xml:space="preserve">, </w:t>
      </w:r>
      <w:r w:rsidRPr="001D1501">
        <w:rPr>
          <w:rFonts w:ascii="Times New Roman" w:hAnsi="Times New Roman" w:cs="Times New Roman"/>
          <w:i/>
          <w:iCs/>
          <w:noProof/>
          <w:kern w:val="0"/>
          <w:sz w:val="24"/>
          <w:szCs w:val="24"/>
        </w:rPr>
        <w:t>45</w:t>
      </w:r>
      <w:r w:rsidRPr="001D1501">
        <w:rPr>
          <w:rFonts w:ascii="Times New Roman" w:hAnsi="Times New Roman" w:cs="Times New Roman"/>
          <w:noProof/>
          <w:kern w:val="0"/>
          <w:sz w:val="24"/>
          <w:szCs w:val="24"/>
        </w:rPr>
        <w:t xml:space="preserve">(3), 347–352. </w:t>
      </w:r>
      <w:r w:rsidRPr="000F3BFF">
        <w:rPr>
          <w:rFonts w:ascii="Times New Roman" w:hAnsi="Times New Roman" w:cs="Times New Roman"/>
          <w:noProof/>
          <w:kern w:val="0"/>
          <w:sz w:val="24"/>
          <w:szCs w:val="24"/>
          <w:lang w:val="de-DE"/>
        </w:rPr>
        <w:t>https://doi.org/10.1016/j.pld.2022.12.007</w:t>
      </w:r>
    </w:p>
    <w:p w14:paraId="3312DA91" w14:textId="77777777" w:rsidR="00C61C4E" w:rsidRDefault="00C61C4E" w:rsidP="00C61C4E">
      <w:pPr>
        <w:widowControl w:val="0"/>
        <w:autoSpaceDE w:val="0"/>
        <w:autoSpaceDN w:val="0"/>
        <w:adjustRightInd w:val="0"/>
        <w:spacing w:before="240" w:line="480" w:lineRule="auto"/>
        <w:ind w:left="480" w:hanging="480"/>
        <w:rPr>
          <w:rFonts w:ascii="Times New Roman" w:hAnsi="Times New Roman" w:cs="Times New Roman"/>
          <w:noProof/>
          <w:kern w:val="0"/>
          <w:sz w:val="24"/>
          <w:szCs w:val="24"/>
        </w:rPr>
      </w:pPr>
      <w:r w:rsidRPr="00473CD6">
        <w:rPr>
          <w:rFonts w:ascii="Times New Roman" w:hAnsi="Times New Roman" w:cs="Times New Roman"/>
          <w:sz w:val="24"/>
          <w:szCs w:val="24"/>
          <w:lang w:val="de-DE"/>
        </w:rPr>
        <w:t xml:space="preserve">Müller, J., Mitesser, O., Schaefer, H. M., Seibold, S., Busse, A., Kriegel, P., ... </w:t>
      </w:r>
      <w:r w:rsidRPr="00473CD6">
        <w:rPr>
          <w:rFonts w:ascii="Times New Roman" w:hAnsi="Times New Roman" w:cs="Times New Roman"/>
          <w:sz w:val="24"/>
          <w:szCs w:val="24"/>
        </w:rPr>
        <w:t xml:space="preserve">&amp; </w:t>
      </w:r>
      <w:proofErr w:type="spellStart"/>
      <w:r w:rsidRPr="00473CD6">
        <w:rPr>
          <w:rFonts w:ascii="Times New Roman" w:hAnsi="Times New Roman" w:cs="Times New Roman"/>
          <w:sz w:val="24"/>
          <w:szCs w:val="24"/>
        </w:rPr>
        <w:t>Buřivalová</w:t>
      </w:r>
      <w:proofErr w:type="spellEnd"/>
      <w:r w:rsidRPr="00473CD6">
        <w:rPr>
          <w:rFonts w:ascii="Times New Roman" w:hAnsi="Times New Roman" w:cs="Times New Roman"/>
          <w:sz w:val="24"/>
          <w:szCs w:val="24"/>
        </w:rPr>
        <w:t>, Z. (2023). Soundscapes and deep learning enable tracking biodiversity recovery in tropical forests. </w:t>
      </w:r>
      <w:r w:rsidRPr="00473CD6">
        <w:rPr>
          <w:rFonts w:ascii="Times New Roman" w:hAnsi="Times New Roman" w:cs="Times New Roman"/>
          <w:i/>
          <w:iCs/>
          <w:sz w:val="24"/>
          <w:szCs w:val="24"/>
        </w:rPr>
        <w:t>Nature communications</w:t>
      </w:r>
      <w:r w:rsidRPr="00473CD6">
        <w:rPr>
          <w:rFonts w:ascii="Times New Roman" w:hAnsi="Times New Roman" w:cs="Times New Roman"/>
          <w:sz w:val="24"/>
          <w:szCs w:val="24"/>
        </w:rPr>
        <w:t>, </w:t>
      </w:r>
      <w:r w:rsidRPr="00473CD6">
        <w:rPr>
          <w:rFonts w:ascii="Times New Roman" w:hAnsi="Times New Roman" w:cs="Times New Roman"/>
          <w:i/>
          <w:iCs/>
          <w:sz w:val="24"/>
          <w:szCs w:val="24"/>
        </w:rPr>
        <w:t>14</w:t>
      </w:r>
      <w:r w:rsidRPr="00473CD6">
        <w:rPr>
          <w:rFonts w:ascii="Times New Roman" w:hAnsi="Times New Roman" w:cs="Times New Roman"/>
          <w:sz w:val="24"/>
          <w:szCs w:val="24"/>
        </w:rPr>
        <w:t>(1), 6191.</w:t>
      </w:r>
      <w:r>
        <w:rPr>
          <w:rFonts w:ascii="Times New Roman" w:hAnsi="Times New Roman" w:cs="Times New Roman"/>
          <w:sz w:val="24"/>
          <w:szCs w:val="24"/>
        </w:rPr>
        <w:t xml:space="preserve"> </w:t>
      </w:r>
      <w:r w:rsidRPr="000F3BFF">
        <w:rPr>
          <w:rFonts w:ascii="Times New Roman" w:hAnsi="Times New Roman" w:cs="Times New Roman"/>
          <w:sz w:val="24"/>
          <w:szCs w:val="24"/>
        </w:rPr>
        <w:t>https://doi.org/10.1038/s41467-023-41693-w</w:t>
      </w:r>
    </w:p>
    <w:p w14:paraId="7557B2F5" w14:textId="77777777" w:rsidR="00C61C4E" w:rsidRDefault="00C61C4E" w:rsidP="00C61C4E">
      <w:pPr>
        <w:widowControl w:val="0"/>
        <w:autoSpaceDE w:val="0"/>
        <w:autoSpaceDN w:val="0"/>
        <w:adjustRightInd w:val="0"/>
        <w:spacing w:before="240" w:line="480" w:lineRule="auto"/>
        <w:ind w:left="480" w:hanging="480"/>
        <w:rPr>
          <w:rFonts w:ascii="Times New Roman" w:hAnsi="Times New Roman" w:cs="Times New Roman"/>
          <w:noProof/>
          <w:kern w:val="0"/>
          <w:sz w:val="24"/>
          <w:szCs w:val="24"/>
        </w:rPr>
      </w:pPr>
      <w:r w:rsidRPr="00473CD6">
        <w:rPr>
          <w:rFonts w:ascii="Times New Roman" w:hAnsi="Times New Roman" w:cs="Times New Roman"/>
          <w:sz w:val="24"/>
          <w:szCs w:val="24"/>
        </w:rPr>
        <w:lastRenderedPageBreak/>
        <w:t xml:space="preserve">Sheard, C., Neate-Clegg, M. H., </w:t>
      </w:r>
      <w:proofErr w:type="spellStart"/>
      <w:r w:rsidRPr="00473CD6">
        <w:rPr>
          <w:rFonts w:ascii="Times New Roman" w:hAnsi="Times New Roman" w:cs="Times New Roman"/>
          <w:sz w:val="24"/>
          <w:szCs w:val="24"/>
        </w:rPr>
        <w:t>Alioravainen</w:t>
      </w:r>
      <w:proofErr w:type="spellEnd"/>
      <w:r w:rsidRPr="00473CD6">
        <w:rPr>
          <w:rFonts w:ascii="Times New Roman" w:hAnsi="Times New Roman" w:cs="Times New Roman"/>
          <w:sz w:val="24"/>
          <w:szCs w:val="24"/>
        </w:rPr>
        <w:t>, N., Jones, S. E., Vincent, C., MacGregor, H. E., ... &amp; Tobias, J. A. (2020). Ecological drivers of global gradients in avian dispersal inferred from wing morphology. </w:t>
      </w:r>
      <w:r w:rsidRPr="00473CD6">
        <w:rPr>
          <w:rFonts w:ascii="Times New Roman" w:hAnsi="Times New Roman" w:cs="Times New Roman"/>
          <w:i/>
          <w:iCs/>
          <w:sz w:val="24"/>
          <w:szCs w:val="24"/>
        </w:rPr>
        <w:t>Nature communications</w:t>
      </w:r>
      <w:r w:rsidRPr="00473CD6">
        <w:rPr>
          <w:rFonts w:ascii="Times New Roman" w:hAnsi="Times New Roman" w:cs="Times New Roman"/>
          <w:sz w:val="24"/>
          <w:szCs w:val="24"/>
        </w:rPr>
        <w:t>, </w:t>
      </w:r>
      <w:r w:rsidRPr="00473CD6">
        <w:rPr>
          <w:rFonts w:ascii="Times New Roman" w:hAnsi="Times New Roman" w:cs="Times New Roman"/>
          <w:i/>
          <w:iCs/>
          <w:sz w:val="24"/>
          <w:szCs w:val="24"/>
        </w:rPr>
        <w:t>11</w:t>
      </w:r>
      <w:r w:rsidRPr="00473CD6">
        <w:rPr>
          <w:rFonts w:ascii="Times New Roman" w:hAnsi="Times New Roman" w:cs="Times New Roman"/>
          <w:sz w:val="24"/>
          <w:szCs w:val="24"/>
        </w:rPr>
        <w:t>(1), 2463.</w:t>
      </w:r>
      <w:r>
        <w:rPr>
          <w:rFonts w:ascii="Times New Roman" w:hAnsi="Times New Roman" w:cs="Times New Roman"/>
          <w:sz w:val="24"/>
          <w:szCs w:val="24"/>
        </w:rPr>
        <w:t xml:space="preserve"> </w:t>
      </w:r>
      <w:r w:rsidRPr="000F3BFF">
        <w:rPr>
          <w:rFonts w:ascii="Times New Roman" w:hAnsi="Times New Roman" w:cs="Times New Roman"/>
          <w:sz w:val="24"/>
          <w:szCs w:val="24"/>
        </w:rPr>
        <w:t>https://doi.org/10.1038/s41467-020-16313-6</w:t>
      </w:r>
    </w:p>
    <w:p w14:paraId="40794961" w14:textId="77777777" w:rsidR="00C61C4E" w:rsidRDefault="00C61C4E" w:rsidP="00C61C4E">
      <w:pPr>
        <w:widowControl w:val="0"/>
        <w:autoSpaceDE w:val="0"/>
        <w:autoSpaceDN w:val="0"/>
        <w:adjustRightInd w:val="0"/>
        <w:spacing w:before="240" w:line="480" w:lineRule="auto"/>
        <w:ind w:left="480" w:hanging="480"/>
        <w:rPr>
          <w:rFonts w:ascii="Times New Roman" w:hAnsi="Times New Roman" w:cs="Times New Roman"/>
          <w:noProof/>
          <w:kern w:val="0"/>
          <w:sz w:val="24"/>
          <w:szCs w:val="24"/>
        </w:rPr>
      </w:pPr>
      <w:r w:rsidRPr="001D1501">
        <w:rPr>
          <w:rFonts w:ascii="Times New Roman" w:hAnsi="Times New Roman" w:cs="Times New Roman"/>
          <w:noProof/>
          <w:kern w:val="0"/>
          <w:sz w:val="24"/>
          <w:szCs w:val="24"/>
        </w:rPr>
        <w:t xml:space="preserve">Tobias, J. A., Sheard, C., Pigot, A. L., Devenish, A. J. M., Yang, J., Sayol, F., Neate-Clegg, M. H. C., Alioravainen, N., Weeks, T. L., Barber, R. A., Walkden, P. A., MacGregor, H. E. A., Jones, S. E. I., Vincent, C., Phillips, A. G., Marples, N. M., Montaño-Centellas, F. A., Leandro-Silva, V., Claramunt, S., … Schleuning, M. (2022). AVONET: morphological, ecological and geographical data for all birds. </w:t>
      </w:r>
      <w:r w:rsidRPr="001D1501">
        <w:rPr>
          <w:rFonts w:ascii="Times New Roman" w:hAnsi="Times New Roman" w:cs="Times New Roman"/>
          <w:i/>
          <w:iCs/>
          <w:noProof/>
          <w:kern w:val="0"/>
          <w:sz w:val="24"/>
          <w:szCs w:val="24"/>
        </w:rPr>
        <w:t>Ecology Letters</w:t>
      </w:r>
      <w:r w:rsidRPr="001D1501">
        <w:rPr>
          <w:rFonts w:ascii="Times New Roman" w:hAnsi="Times New Roman" w:cs="Times New Roman"/>
          <w:noProof/>
          <w:kern w:val="0"/>
          <w:sz w:val="24"/>
          <w:szCs w:val="24"/>
        </w:rPr>
        <w:t xml:space="preserve">, </w:t>
      </w:r>
      <w:r w:rsidRPr="001D1501">
        <w:rPr>
          <w:rFonts w:ascii="Times New Roman" w:hAnsi="Times New Roman" w:cs="Times New Roman"/>
          <w:i/>
          <w:iCs/>
          <w:noProof/>
          <w:kern w:val="0"/>
          <w:sz w:val="24"/>
          <w:szCs w:val="24"/>
        </w:rPr>
        <w:t>25</w:t>
      </w:r>
      <w:r w:rsidRPr="001D1501">
        <w:rPr>
          <w:rFonts w:ascii="Times New Roman" w:hAnsi="Times New Roman" w:cs="Times New Roman"/>
          <w:noProof/>
          <w:kern w:val="0"/>
          <w:sz w:val="24"/>
          <w:szCs w:val="24"/>
        </w:rPr>
        <w:t xml:space="preserve">(3), 581–597. </w:t>
      </w:r>
      <w:r w:rsidRPr="000F3BFF">
        <w:rPr>
          <w:rFonts w:ascii="Times New Roman" w:hAnsi="Times New Roman" w:cs="Times New Roman"/>
          <w:noProof/>
          <w:kern w:val="0"/>
          <w:sz w:val="24"/>
          <w:szCs w:val="24"/>
        </w:rPr>
        <w:t>https://doi.org/10.1111/ele.13898</w:t>
      </w:r>
    </w:p>
    <w:p w14:paraId="189CE739" w14:textId="77777777" w:rsidR="003D7194" w:rsidRDefault="003D7194" w:rsidP="00B83545">
      <w:pPr>
        <w:jc w:val="both"/>
      </w:pPr>
    </w:p>
    <w:sectPr w:rsidR="003D719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6D99"/>
    <w:rsid w:val="000215B9"/>
    <w:rsid w:val="000E0ABF"/>
    <w:rsid w:val="000E7AA8"/>
    <w:rsid w:val="00115319"/>
    <w:rsid w:val="00163BCF"/>
    <w:rsid w:val="002260AD"/>
    <w:rsid w:val="00232EA8"/>
    <w:rsid w:val="00397DFB"/>
    <w:rsid w:val="003D7194"/>
    <w:rsid w:val="00401AE0"/>
    <w:rsid w:val="004461BA"/>
    <w:rsid w:val="004B4AF5"/>
    <w:rsid w:val="00544C4D"/>
    <w:rsid w:val="00564C09"/>
    <w:rsid w:val="00710BBC"/>
    <w:rsid w:val="008B6A36"/>
    <w:rsid w:val="00B83545"/>
    <w:rsid w:val="00C44756"/>
    <w:rsid w:val="00C5096D"/>
    <w:rsid w:val="00C567A7"/>
    <w:rsid w:val="00C61C4E"/>
    <w:rsid w:val="00C71B90"/>
    <w:rsid w:val="00C74B74"/>
    <w:rsid w:val="00CE6D99"/>
    <w:rsid w:val="00D1280A"/>
    <w:rsid w:val="00DB5A1B"/>
    <w:rsid w:val="00DD681A"/>
    <w:rsid w:val="00E55519"/>
    <w:rsid w:val="00ED6819"/>
    <w:rsid w:val="00F83C3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F34A7"/>
  <w15:chartTrackingRefBased/>
  <w15:docId w15:val="{0343E664-A809-4495-BD43-45971C894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E6D99"/>
    <w:rPr>
      <w:rFonts w:eastAsia="PMingLiU"/>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CE6D99"/>
    <w:pPr>
      <w:spacing w:before="100" w:beforeAutospacing="1" w:after="100" w:afterAutospacing="1" w:line="240" w:lineRule="auto"/>
    </w:pPr>
    <w:rPr>
      <w:rFonts w:ascii="Times New Roman" w:eastAsia="Times New Roman" w:hAnsi="Times New Roman" w:cs="Times New Roman"/>
      <w:kern w:val="0"/>
      <w:sz w:val="24"/>
      <w:szCs w:val="24"/>
      <w:lang w:val="de-DE" w:eastAsia="de-D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tiff"/><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7906</Words>
  <Characters>49808</Characters>
  <Application>Microsoft Office Word</Application>
  <DocSecurity>0</DocSecurity>
  <Lines>415</Lines>
  <Paragraphs>115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57599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Mareike</dc:creator>
  <cp:keywords/>
  <dc:description/>
  <cp:lastModifiedBy>Mareike Kortmann</cp:lastModifiedBy>
  <cp:revision>18</cp:revision>
  <dcterms:created xsi:type="dcterms:W3CDTF">2024-03-26T07:36:00Z</dcterms:created>
  <dcterms:modified xsi:type="dcterms:W3CDTF">2025-01-27T09:30:00Z</dcterms:modified>
</cp:coreProperties>
</file>