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1F995" w14:textId="5EB1BEAE" w:rsidR="00BD6C3A" w:rsidRPr="00D16899" w:rsidRDefault="00654E8F" w:rsidP="00D16899">
      <w:pPr>
        <w:pStyle w:val="SupplementaryMaterial"/>
        <w:rPr>
          <w:b w:val="0"/>
        </w:rPr>
      </w:pPr>
      <w:r w:rsidRPr="001549D3">
        <w:t>Supplementary Material</w:t>
      </w:r>
    </w:p>
    <w:p w14:paraId="7804B537" w14:textId="6A5C99A4" w:rsidR="001321F2" w:rsidRDefault="0088062D" w:rsidP="00CB79CA">
      <w:pPr>
        <w:spacing w:before="0" w:after="200" w:line="276" w:lineRule="auto"/>
        <w:jc w:val="center"/>
        <w:rPr>
          <w:rFonts w:eastAsia="Cambria" w:cs="Times New Roman"/>
          <w:b/>
          <w:szCs w:val="24"/>
        </w:rPr>
      </w:pPr>
      <w:r>
        <w:rPr>
          <w:noProof/>
        </w:rPr>
        <w:drawing>
          <wp:inline distT="0" distB="0" distL="0" distR="0" wp14:anchorId="287AB549" wp14:editId="01A00F05">
            <wp:extent cx="5812997" cy="6289704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96" b="1981"/>
                    <a:stretch/>
                  </pic:blipFill>
                  <pic:spPr bwMode="auto">
                    <a:xfrm>
                      <a:off x="0" y="0"/>
                      <a:ext cx="5820462" cy="6297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F1AED1" w14:textId="0C082473" w:rsidR="00BD6C3A" w:rsidRDefault="00897E90" w:rsidP="00FD5787">
      <w:r w:rsidRPr="0001436A">
        <w:rPr>
          <w:rFonts w:cs="Times New Roman"/>
          <w:b/>
          <w:szCs w:val="24"/>
        </w:rPr>
        <w:t>Supplementary</w:t>
      </w:r>
      <w:r w:rsidRPr="00FD5787">
        <w:rPr>
          <w:b/>
          <w:bCs/>
        </w:rPr>
        <w:t xml:space="preserve"> </w:t>
      </w:r>
      <w:r w:rsidR="001321F2" w:rsidRPr="00FD5787">
        <w:rPr>
          <w:b/>
          <w:bCs/>
        </w:rPr>
        <w:t xml:space="preserve">Figure </w:t>
      </w:r>
      <w:r w:rsidR="00DC75BF">
        <w:rPr>
          <w:b/>
          <w:bCs/>
        </w:rPr>
        <w:t>S</w:t>
      </w:r>
      <w:r w:rsidR="001321F2" w:rsidRPr="00FD5787">
        <w:rPr>
          <w:b/>
          <w:bCs/>
        </w:rPr>
        <w:t>1. Abundance of intracellular metabolites in CHO cells during the 17 days fed-batch process detected using untargeted LC-MS.</w:t>
      </w:r>
      <w:r w:rsidR="001321F2" w:rsidRPr="001321F2">
        <w:t xml:space="preserve"> </w:t>
      </w:r>
      <w:r w:rsidR="001321F2" w:rsidRPr="001321F2">
        <w:rPr>
          <w:bCs/>
        </w:rPr>
        <w:t>Metabolites, passing the pre-defined criteria (AUC fold change: ± 1.5, OPLS-DA significance test), are visualized throughout the fed-batch process and highlighted in blue (SSC) or black (Cys). A total of 3 biological replicates per condition were performed and the resulting data are represented as mean values ± SEM. Colors represent the 3 identified metabolites categories with γ-glutamyl-AA or γ-glutamyl modified peptides in orange, vitamins in green and sulfur containing compounds in blue.</w:t>
      </w:r>
      <w:r w:rsidR="001321F2" w:rsidRPr="001321F2">
        <w:t xml:space="preserve"> </w:t>
      </w:r>
      <w:r w:rsidR="00BD6C3A">
        <w:br w:type="page"/>
      </w:r>
    </w:p>
    <w:p w14:paraId="25D50DEE" w14:textId="28A47D48" w:rsidR="00FD5787" w:rsidRDefault="004C06ED">
      <w:pPr>
        <w:spacing w:before="0" w:after="200" w:line="276" w:lineRule="auto"/>
      </w:pPr>
      <w:r>
        <w:rPr>
          <w:noProof/>
        </w:rPr>
        <w:lastRenderedPageBreak/>
        <w:drawing>
          <wp:inline distT="0" distB="0" distL="0" distR="0" wp14:anchorId="1E81FBF0" wp14:editId="7B6441DE">
            <wp:extent cx="6208395" cy="5974080"/>
            <wp:effectExtent l="0" t="0" r="1905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395" cy="597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7913E" w14:textId="17AB5A44" w:rsidR="00BD6C3A" w:rsidRDefault="00897E90" w:rsidP="00FD5787">
      <w:r w:rsidRPr="0001436A">
        <w:rPr>
          <w:rFonts w:cs="Times New Roman"/>
          <w:b/>
          <w:szCs w:val="24"/>
        </w:rPr>
        <w:t>Supplementary</w:t>
      </w:r>
      <w:r w:rsidRPr="00FD5787">
        <w:rPr>
          <w:b/>
          <w:bCs/>
        </w:rPr>
        <w:t xml:space="preserve"> </w:t>
      </w:r>
      <w:r w:rsidR="00FD5787" w:rsidRPr="00FD5787">
        <w:rPr>
          <w:b/>
          <w:bCs/>
        </w:rPr>
        <w:t xml:space="preserve">Figure </w:t>
      </w:r>
      <w:r w:rsidR="00DC75BF">
        <w:rPr>
          <w:b/>
          <w:bCs/>
        </w:rPr>
        <w:t>S</w:t>
      </w:r>
      <w:r w:rsidR="00FD5787" w:rsidRPr="00FD5787">
        <w:rPr>
          <w:b/>
          <w:bCs/>
        </w:rPr>
        <w:t>2. Abundance of extracellular metabolites in CHO cells during the 17 days fed-batch process detected using untargeted LC-MS.</w:t>
      </w:r>
      <w:r w:rsidR="00FD5787">
        <w:t xml:space="preserve">  Metabolites, passing the pre-defined criteria (AUC fold change: ± 1.5, OPLS-DA significance test), are visualized throughout the fed-batch process and highlighted in blue (SSC) or black (Cys). A total of 3 biological replicates per condition were performed and the resulting data are represented as mean values ± SEM. Colors represent the 3 identified metabolites categories with γ-glutamyl-AA or γ-glutamyl modified peptides in orange, vitamins in green and sulfur containing compounds in blue.</w:t>
      </w:r>
      <w:r w:rsidR="00BD6C3A">
        <w:br w:type="page"/>
      </w:r>
    </w:p>
    <w:p w14:paraId="40985235" w14:textId="48ED5910" w:rsidR="00DE23E8" w:rsidRDefault="004C06ED" w:rsidP="00654E8F">
      <w:pPr>
        <w:spacing w:before="240"/>
      </w:pPr>
      <w:r>
        <w:rPr>
          <w:noProof/>
        </w:rPr>
        <w:lastRenderedPageBreak/>
        <w:drawing>
          <wp:inline distT="0" distB="0" distL="0" distR="0" wp14:anchorId="64711034" wp14:editId="5631206C">
            <wp:extent cx="6208395" cy="5594985"/>
            <wp:effectExtent l="0" t="0" r="1905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395" cy="559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99651" w14:textId="23B2ACF6" w:rsidR="001404FE" w:rsidRDefault="00897E90" w:rsidP="0050120C">
      <w:r w:rsidRPr="0001436A">
        <w:rPr>
          <w:rFonts w:cs="Times New Roman"/>
          <w:b/>
          <w:szCs w:val="24"/>
        </w:rPr>
        <w:t>Supplementary</w:t>
      </w:r>
      <w:r w:rsidRPr="0050120C">
        <w:rPr>
          <w:b/>
          <w:bCs/>
        </w:rPr>
        <w:t xml:space="preserve"> </w:t>
      </w:r>
      <w:r w:rsidR="0050120C" w:rsidRPr="0050120C">
        <w:rPr>
          <w:b/>
          <w:bCs/>
        </w:rPr>
        <w:t xml:space="preserve">Figure </w:t>
      </w:r>
      <w:r w:rsidR="00DC75BF">
        <w:rPr>
          <w:b/>
          <w:bCs/>
        </w:rPr>
        <w:t>S</w:t>
      </w:r>
      <w:r w:rsidR="0050120C" w:rsidRPr="0050120C">
        <w:rPr>
          <w:b/>
          <w:bCs/>
        </w:rPr>
        <w:t>3. Expression profile of proteins in CHO cells during the 17 days fed-batch process detected using TMT-based LC-MS analysis.</w:t>
      </w:r>
      <w:r w:rsidR="0050120C">
        <w:t xml:space="preserve"> Proteins, passing the pre-defined criteria (AUC fold change: ± 1.1, OPLS-DA significance test), are visualized throughout the fed-batch process and highlighted in blue (SSC) or black (Cys). A total of 3 biological replicates per condition were performed and the resulting data are represented as mean values ± SEM. Colors represent the 3 predominant protein categories, with proteins involved in iron-related processes in orange, TCA cycle in green and sulfur-related proteins in blue.</w:t>
      </w:r>
    </w:p>
    <w:p w14:paraId="74EADC9C" w14:textId="77777777" w:rsidR="001404FE" w:rsidRDefault="001404FE">
      <w:pPr>
        <w:spacing w:before="0" w:after="200" w:line="276" w:lineRule="auto"/>
      </w:pPr>
      <w:r>
        <w:br w:type="page"/>
      </w:r>
    </w:p>
    <w:p w14:paraId="14998592" w14:textId="7E6C08CD" w:rsidR="0093273C" w:rsidRDefault="004C06ED" w:rsidP="0093273C">
      <w:pPr>
        <w:spacing w:before="0" w:after="200" w:line="276" w:lineRule="auto"/>
        <w:jc w:val="center"/>
      </w:pPr>
      <w:r>
        <w:rPr>
          <w:noProof/>
        </w:rPr>
        <w:lastRenderedPageBreak/>
        <w:drawing>
          <wp:inline distT="0" distB="0" distL="0" distR="0" wp14:anchorId="22BC9644" wp14:editId="0E34108F">
            <wp:extent cx="5607050" cy="381317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0" cy="381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FA4155" w14:textId="18A20D12" w:rsidR="0093273C" w:rsidRDefault="00897E90" w:rsidP="0093273C">
      <w:r w:rsidRPr="0001436A">
        <w:rPr>
          <w:rFonts w:cs="Times New Roman"/>
          <w:b/>
          <w:szCs w:val="24"/>
        </w:rPr>
        <w:t>Supplementary</w:t>
      </w:r>
      <w:r w:rsidRPr="0093273C">
        <w:rPr>
          <w:b/>
          <w:bCs/>
        </w:rPr>
        <w:t xml:space="preserve"> </w:t>
      </w:r>
      <w:r w:rsidR="0093273C" w:rsidRPr="0093273C">
        <w:rPr>
          <w:b/>
          <w:bCs/>
        </w:rPr>
        <w:t xml:space="preserve">Figure </w:t>
      </w:r>
      <w:r w:rsidR="00DC75BF">
        <w:rPr>
          <w:b/>
          <w:bCs/>
        </w:rPr>
        <w:t>S</w:t>
      </w:r>
      <w:r w:rsidR="0093273C" w:rsidRPr="0093273C">
        <w:rPr>
          <w:b/>
          <w:bCs/>
        </w:rPr>
        <w:t>4. Expression profile of 3-mercaptopyruvate sulfurtransferase (MPST) detected via capillary-based Western Blot.</w:t>
      </w:r>
      <w:r w:rsidR="0093273C" w:rsidRPr="0093273C">
        <w:t xml:space="preserve"> MPST is visualized throughout the fed-batch process and highlighted in blue (SSC) or black (Cys). A total of 2 biological replicates per condition were performed and the resulting data are represented as mean values ± SEM.</w:t>
      </w:r>
    </w:p>
    <w:p w14:paraId="66A67E6E" w14:textId="77777777" w:rsidR="0093273C" w:rsidRDefault="0093273C">
      <w:pPr>
        <w:spacing w:before="0" w:after="200" w:line="276" w:lineRule="auto"/>
      </w:pPr>
      <w:r>
        <w:br w:type="page"/>
      </w:r>
    </w:p>
    <w:p w14:paraId="333B7654" w14:textId="0658206D" w:rsidR="0050120C" w:rsidRDefault="0093273C" w:rsidP="0050120C">
      <w:r>
        <w:rPr>
          <w:noProof/>
        </w:rPr>
        <w:lastRenderedPageBreak/>
        <w:drawing>
          <wp:inline distT="0" distB="0" distL="0" distR="0" wp14:anchorId="1083018C" wp14:editId="0420654D">
            <wp:extent cx="6208395" cy="6429993"/>
            <wp:effectExtent l="0" t="0" r="1905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395" cy="6429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E0AC4B" w14:textId="1BDC2BC1" w:rsidR="0093273C" w:rsidRPr="001549D3" w:rsidRDefault="00897E90" w:rsidP="0050120C">
      <w:r w:rsidRPr="0001436A">
        <w:rPr>
          <w:rFonts w:cs="Times New Roman"/>
          <w:b/>
          <w:szCs w:val="24"/>
        </w:rPr>
        <w:t>Supplementary</w:t>
      </w:r>
      <w:r w:rsidRPr="0093273C">
        <w:rPr>
          <w:b/>
          <w:bCs/>
        </w:rPr>
        <w:t xml:space="preserve"> </w:t>
      </w:r>
      <w:r w:rsidR="0093273C" w:rsidRPr="0093273C">
        <w:rPr>
          <w:b/>
          <w:bCs/>
        </w:rPr>
        <w:t xml:space="preserve">Figure </w:t>
      </w:r>
      <w:r w:rsidR="00DC75BF">
        <w:rPr>
          <w:b/>
          <w:bCs/>
        </w:rPr>
        <w:t>S</w:t>
      </w:r>
      <w:r w:rsidR="0093273C" w:rsidRPr="0093273C">
        <w:rPr>
          <w:b/>
          <w:bCs/>
        </w:rPr>
        <w:t>5. Deconvoluted MS spectrum of GRX1 with or without incubation with GS-SO3.</w:t>
      </w:r>
      <w:r w:rsidR="0093273C" w:rsidRPr="0093273C">
        <w:t xml:space="preserve"> GRX1 in 50 mM Tris-HCl (pH 7.5) was incubated at a ratio of 1/500 with GS-SO3 for 30 min at 25°C before intact mass analysis using LC-MS. Results indicate glutathionylation of two cysteine residues and minor formation of sulfated or sulfated &amp; glutathionylated proteoforms. Colored circles represent proteoforms already detected in the original GRX1 solution, db represent the number of disulfide bridge.</w:t>
      </w:r>
    </w:p>
    <w:sectPr w:rsidR="0093273C" w:rsidRPr="001549D3" w:rsidSect="0093429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BCE49" w14:textId="77777777" w:rsidR="00BC0AA1" w:rsidRDefault="00BC0AA1" w:rsidP="00117666">
      <w:pPr>
        <w:spacing w:after="0"/>
      </w:pPr>
      <w:r>
        <w:separator/>
      </w:r>
    </w:p>
  </w:endnote>
  <w:endnote w:type="continuationSeparator" w:id="0">
    <w:p w14:paraId="5BE6E583" w14:textId="77777777" w:rsidR="00BC0AA1" w:rsidRDefault="00BC0AA1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FBA732B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5837E601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F57A3" w14:textId="39B40FF5" w:rsidR="00772FE6" w:rsidRDefault="00772F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9F623" w14:textId="77777777" w:rsidR="00BC0AA1" w:rsidRDefault="00BC0AA1" w:rsidP="00117666">
      <w:pPr>
        <w:spacing w:after="0"/>
      </w:pPr>
      <w:r>
        <w:separator/>
      </w:r>
    </w:p>
  </w:footnote>
  <w:footnote w:type="continuationSeparator" w:id="0">
    <w:p w14:paraId="174E1DBB" w14:textId="77777777" w:rsidR="00BC0AA1" w:rsidRDefault="00BC0AA1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1A41C914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D60B9" w14:textId="4048A314" w:rsidR="00772FE6" w:rsidRDefault="00772FE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10AD6E3D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321F2"/>
    <w:rsid w:val="001404FE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73FE2"/>
    <w:rsid w:val="003D2F2D"/>
    <w:rsid w:val="00401590"/>
    <w:rsid w:val="00447801"/>
    <w:rsid w:val="00452E9C"/>
    <w:rsid w:val="004735C8"/>
    <w:rsid w:val="004961FF"/>
    <w:rsid w:val="004C06ED"/>
    <w:rsid w:val="0050120C"/>
    <w:rsid w:val="00517A89"/>
    <w:rsid w:val="005250F2"/>
    <w:rsid w:val="00593EEA"/>
    <w:rsid w:val="005A5EEE"/>
    <w:rsid w:val="0060049F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72FE6"/>
    <w:rsid w:val="00790BB3"/>
    <w:rsid w:val="007C206C"/>
    <w:rsid w:val="00803D24"/>
    <w:rsid w:val="00817DD6"/>
    <w:rsid w:val="0088062D"/>
    <w:rsid w:val="00885156"/>
    <w:rsid w:val="00897E90"/>
    <w:rsid w:val="009151AA"/>
    <w:rsid w:val="0093273C"/>
    <w:rsid w:val="0093429D"/>
    <w:rsid w:val="00943573"/>
    <w:rsid w:val="00970F7D"/>
    <w:rsid w:val="00991F28"/>
    <w:rsid w:val="00994A3D"/>
    <w:rsid w:val="009C2B12"/>
    <w:rsid w:val="009C70F3"/>
    <w:rsid w:val="00A174D9"/>
    <w:rsid w:val="00A569CD"/>
    <w:rsid w:val="00AB6715"/>
    <w:rsid w:val="00AE79EB"/>
    <w:rsid w:val="00B1671E"/>
    <w:rsid w:val="00B25EB8"/>
    <w:rsid w:val="00B354E1"/>
    <w:rsid w:val="00B37228"/>
    <w:rsid w:val="00B37F4D"/>
    <w:rsid w:val="00BC0AA1"/>
    <w:rsid w:val="00BD6C3A"/>
    <w:rsid w:val="00C52A7B"/>
    <w:rsid w:val="00C56BAF"/>
    <w:rsid w:val="00C679AA"/>
    <w:rsid w:val="00C75972"/>
    <w:rsid w:val="00CB79CA"/>
    <w:rsid w:val="00CC0A3A"/>
    <w:rsid w:val="00CD066B"/>
    <w:rsid w:val="00CE4FEE"/>
    <w:rsid w:val="00D16899"/>
    <w:rsid w:val="00DB59C3"/>
    <w:rsid w:val="00DC259A"/>
    <w:rsid w:val="00DC75BF"/>
    <w:rsid w:val="00DE23E8"/>
    <w:rsid w:val="00E52377"/>
    <w:rsid w:val="00E64E17"/>
    <w:rsid w:val="00E866C9"/>
    <w:rsid w:val="00E925E6"/>
    <w:rsid w:val="00EA3D3C"/>
    <w:rsid w:val="00F46900"/>
    <w:rsid w:val="00F61D89"/>
    <w:rsid w:val="00FD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64487BD"/>
  <w14:defaultImageDpi w14:val="330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D6C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tif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tif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tif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tiff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tiff"/><Relationship Id="rId22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5</Pages>
  <Words>386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Melanie Nguyen</cp:lastModifiedBy>
  <cp:revision>22</cp:revision>
  <cp:lastPrinted>2013-10-03T12:51:00Z</cp:lastPrinted>
  <dcterms:created xsi:type="dcterms:W3CDTF">2022-11-17T16:58:00Z</dcterms:created>
  <dcterms:modified xsi:type="dcterms:W3CDTF">2023-08-03T08:59:00Z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