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  <w:r w:rsidRPr="00E9372A">
        <w:rPr>
          <w:rStyle w:val="fontstyle01"/>
          <w:rFonts w:cstheme="minorHAnsi"/>
          <w:b/>
          <w:lang w:val="en-GB"/>
        </w:rPr>
        <w:t>SUPPLEMENTARY MATERIAL</w:t>
      </w: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  <w:r>
        <w:rPr>
          <w:rFonts w:cstheme="minorHAnsi"/>
          <w:b/>
          <w:noProof/>
          <w:color w:val="000000"/>
          <w:lang w:val="en-IN" w:eastAsia="en-IN"/>
        </w:rPr>
        <w:drawing>
          <wp:inline distT="0" distB="0" distL="0" distR="0" wp14:anchorId="2007DB1C" wp14:editId="686D9145">
            <wp:extent cx="4197350" cy="2527455"/>
            <wp:effectExtent l="19050" t="0" r="0" b="0"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70" cy="2527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</w:p>
    <w:p w:rsidR="00962B47" w:rsidRPr="00DD2E3D" w:rsidRDefault="00962B47" w:rsidP="00962B47">
      <w:pPr>
        <w:spacing w:line="360" w:lineRule="auto"/>
        <w:rPr>
          <w:rStyle w:val="fontstyle01"/>
          <w:rFonts w:cstheme="minorHAnsi"/>
          <w:sz w:val="16"/>
          <w:szCs w:val="16"/>
          <w:lang w:val="en-GB"/>
        </w:rPr>
      </w:pPr>
      <w:r w:rsidRPr="00FE4780">
        <w:rPr>
          <w:rStyle w:val="fontstyle01"/>
          <w:rFonts w:cstheme="minorHAnsi"/>
          <w:b/>
          <w:sz w:val="16"/>
          <w:szCs w:val="16"/>
          <w:lang w:val="en-GB"/>
        </w:rPr>
        <w:t>FIGURE S1</w:t>
      </w:r>
      <w:r>
        <w:rPr>
          <w:rStyle w:val="fontstyle01"/>
          <w:rFonts w:cstheme="minorHAnsi"/>
          <w:b/>
          <w:sz w:val="16"/>
          <w:szCs w:val="16"/>
          <w:lang w:val="en-GB"/>
        </w:rPr>
        <w:t xml:space="preserve"> 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Comparison of the </w:t>
      </w:r>
      <w:r>
        <w:rPr>
          <w:rStyle w:val="fontstyle01"/>
          <w:rFonts w:cstheme="minorHAnsi"/>
          <w:sz w:val="16"/>
          <w:szCs w:val="16"/>
          <w:lang w:val="en-GB"/>
        </w:rPr>
        <w:t>average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number of flower visitors </w:t>
      </w:r>
      <w:r>
        <w:rPr>
          <w:rStyle w:val="fontstyle01"/>
          <w:rFonts w:cstheme="minorHAnsi"/>
          <w:sz w:val="16"/>
          <w:szCs w:val="16"/>
          <w:lang w:val="en-GB"/>
        </w:rPr>
        <w:t>observed on the studied plant species per study 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, </w:t>
      </w:r>
      <w:r>
        <w:rPr>
          <w:rStyle w:val="fontstyle01"/>
          <w:rFonts w:cstheme="minorHAnsi"/>
          <w:sz w:val="16"/>
          <w:szCs w:val="16"/>
          <w:lang w:val="en-GB"/>
        </w:rPr>
        <w:t>summarized for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the target plant groups NATIVE (green), </w:t>
      </w:r>
      <w:r>
        <w:rPr>
          <w:rStyle w:val="fontstyle01"/>
          <w:rFonts w:cstheme="minorHAnsi"/>
          <w:sz w:val="16"/>
          <w:szCs w:val="16"/>
          <w:lang w:val="en-GB"/>
        </w:rPr>
        <w:t>RELATED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(yellow) and EXOTIC (pink).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1: Botanical Garden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2: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Lichtwiese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3 and 4: Old Cemetery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5: Georg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Büchner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School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6: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Riedstraße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7: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Birkenweg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8: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Elisabethenstraße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9 and 10: Industrial area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Im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Tiefen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See.</w:t>
      </w:r>
    </w:p>
    <w:p w:rsidR="00962B47" w:rsidRPr="00DD2E3D" w:rsidRDefault="00962B47" w:rsidP="00962B47">
      <w:pPr>
        <w:spacing w:line="360" w:lineRule="auto"/>
        <w:rPr>
          <w:rStyle w:val="fontstyle01"/>
          <w:rFonts w:cstheme="minorHAnsi"/>
          <w:lang w:val="en-GB"/>
        </w:rPr>
      </w:pP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  <w:r w:rsidRPr="00FE4780">
        <w:rPr>
          <w:rStyle w:val="fontstyle01"/>
          <w:rFonts w:cstheme="minorHAnsi"/>
          <w:b/>
          <w:noProof/>
          <w:lang w:val="en-IN" w:eastAsia="en-IN"/>
        </w:rPr>
        <w:drawing>
          <wp:inline distT="0" distB="0" distL="0" distR="0" wp14:anchorId="4E6AE493" wp14:editId="75CFB371">
            <wp:extent cx="4099726" cy="2411482"/>
            <wp:effectExtent l="19050" t="0" r="15074" b="7868"/>
            <wp:docPr id="7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62B47" w:rsidRDefault="00962B47" w:rsidP="00962B47">
      <w:pPr>
        <w:rPr>
          <w:rStyle w:val="fontstyle01"/>
          <w:rFonts w:cstheme="minorHAnsi"/>
          <w:b/>
          <w:lang w:val="en-GB"/>
        </w:rPr>
      </w:pPr>
    </w:p>
    <w:p w:rsidR="00962B47" w:rsidRPr="00DD2E3D" w:rsidRDefault="00962B47" w:rsidP="00962B47">
      <w:pPr>
        <w:spacing w:line="360" w:lineRule="auto"/>
        <w:rPr>
          <w:rStyle w:val="fontstyle01"/>
          <w:rFonts w:cstheme="minorHAnsi"/>
          <w:sz w:val="16"/>
          <w:szCs w:val="16"/>
          <w:lang w:val="en-GB"/>
        </w:rPr>
      </w:pPr>
      <w:r>
        <w:rPr>
          <w:rStyle w:val="fontstyle01"/>
          <w:rFonts w:cstheme="minorHAnsi"/>
          <w:b/>
          <w:sz w:val="16"/>
          <w:szCs w:val="16"/>
          <w:lang w:val="en-GB"/>
        </w:rPr>
        <w:t>FIGURE</w:t>
      </w:r>
      <w:r w:rsidRPr="00FE4780">
        <w:rPr>
          <w:rStyle w:val="fontstyle01"/>
          <w:rFonts w:cstheme="minorHAnsi"/>
          <w:b/>
          <w:sz w:val="16"/>
          <w:szCs w:val="16"/>
          <w:lang w:val="en-GB"/>
        </w:rPr>
        <w:t xml:space="preserve"> S2</w:t>
      </w:r>
      <w:r>
        <w:rPr>
          <w:rFonts w:cstheme="minorHAnsi"/>
          <w:sz w:val="16"/>
          <w:szCs w:val="16"/>
          <w:lang w:val="en-GB"/>
        </w:rPr>
        <w:t xml:space="preserve"> Comparison </w:t>
      </w:r>
      <w:r w:rsidRPr="00E9372A">
        <w:rPr>
          <w:rFonts w:cstheme="minorHAnsi"/>
          <w:sz w:val="16"/>
          <w:szCs w:val="16"/>
          <w:lang w:val="en-GB"/>
        </w:rPr>
        <w:t>of</w:t>
      </w:r>
      <w:r>
        <w:rPr>
          <w:rFonts w:cstheme="minorHAnsi"/>
          <w:sz w:val="16"/>
          <w:szCs w:val="16"/>
          <w:lang w:val="en-GB"/>
        </w:rPr>
        <w:t xml:space="preserve"> the mean feeding damage (%) </w:t>
      </w:r>
      <w:r>
        <w:rPr>
          <w:rStyle w:val="fontstyle01"/>
          <w:rFonts w:cstheme="minorHAnsi"/>
          <w:sz w:val="16"/>
          <w:szCs w:val="16"/>
          <w:lang w:val="en-GB"/>
        </w:rPr>
        <w:t>observed for the studied plant species</w:t>
      </w:r>
      <w:r>
        <w:rPr>
          <w:rFonts w:cstheme="minorHAnsi"/>
          <w:sz w:val="16"/>
          <w:szCs w:val="16"/>
          <w:lang w:val="en-GB"/>
        </w:rPr>
        <w:t xml:space="preserve"> per study plot, </w:t>
      </w:r>
      <w:r>
        <w:rPr>
          <w:rStyle w:val="fontstyle01"/>
          <w:rFonts w:cstheme="minorHAnsi"/>
          <w:sz w:val="16"/>
          <w:szCs w:val="16"/>
          <w:lang w:val="en-GB"/>
        </w:rPr>
        <w:t>summarized for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the target plant groups NATIVE (green), CONVERTED (yellow) and EXOTIC (pink).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1: Botanical Garden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2: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Lichtwiese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3 and 4: Old Cemetery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5: Georg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Büchner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School</w:t>
      </w:r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6: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Riedstraße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7: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Birkenweg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8: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Elisabethenstraße</w:t>
      </w:r>
      <w:proofErr w:type="spellEnd"/>
      <w:r>
        <w:rPr>
          <w:rStyle w:val="fontstyle01"/>
          <w:rFonts w:cstheme="minorHAnsi"/>
          <w:sz w:val="16"/>
          <w:szCs w:val="16"/>
          <w:lang w:val="en-GB"/>
        </w:rPr>
        <w:t>;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r>
        <w:rPr>
          <w:rStyle w:val="fontstyle01"/>
          <w:rFonts w:cstheme="minorHAnsi"/>
          <w:sz w:val="16"/>
          <w:szCs w:val="16"/>
          <w:lang w:val="en-GB"/>
        </w:rPr>
        <w:t>Plot</w:t>
      </w:r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9 and 10: Industrial area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Im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</w:t>
      </w:r>
      <w:proofErr w:type="spellStart"/>
      <w:r w:rsidRPr="00DD2E3D">
        <w:rPr>
          <w:rStyle w:val="fontstyle01"/>
          <w:rFonts w:cstheme="minorHAnsi"/>
          <w:sz w:val="16"/>
          <w:szCs w:val="16"/>
          <w:lang w:val="en-GB"/>
        </w:rPr>
        <w:t>Tiefen</w:t>
      </w:r>
      <w:proofErr w:type="spellEnd"/>
      <w:r w:rsidRPr="00DD2E3D">
        <w:rPr>
          <w:rStyle w:val="fontstyle01"/>
          <w:rFonts w:cstheme="minorHAnsi"/>
          <w:sz w:val="16"/>
          <w:szCs w:val="16"/>
          <w:lang w:val="en-GB"/>
        </w:rPr>
        <w:t xml:space="preserve"> See.</w:t>
      </w:r>
    </w:p>
    <w:p w:rsidR="00962B47" w:rsidRPr="00E9372A" w:rsidRDefault="00962B47" w:rsidP="00962B47">
      <w:pPr>
        <w:rPr>
          <w:rStyle w:val="fontstyle01"/>
          <w:rFonts w:cstheme="minorHAnsi"/>
          <w:b/>
          <w:lang w:val="en-GB"/>
        </w:rPr>
      </w:pPr>
    </w:p>
    <w:p w:rsidR="00962B47" w:rsidRDefault="00962B47" w:rsidP="00962B47">
      <w:pPr>
        <w:rPr>
          <w:rFonts w:cstheme="minorHAnsi"/>
          <w:sz w:val="16"/>
          <w:szCs w:val="16"/>
          <w:lang w:val="en-GB"/>
        </w:rPr>
      </w:pPr>
    </w:p>
    <w:p w:rsidR="00962B47" w:rsidRDefault="00962B47" w:rsidP="00962B47">
      <w:pPr>
        <w:rPr>
          <w:rFonts w:cstheme="minorHAnsi"/>
          <w:sz w:val="16"/>
          <w:szCs w:val="16"/>
          <w:lang w:val="en-GB"/>
        </w:rPr>
      </w:pPr>
    </w:p>
    <w:p w:rsidR="00962B47" w:rsidRDefault="00962B47" w:rsidP="00962B47">
      <w:pPr>
        <w:rPr>
          <w:rFonts w:cstheme="minorHAnsi"/>
          <w:lang w:val="en-GB"/>
        </w:rPr>
      </w:pPr>
      <w:r w:rsidRPr="00882CF7">
        <w:rPr>
          <w:rFonts w:cstheme="minorHAnsi"/>
          <w:b/>
          <w:lang w:val="en-GB"/>
        </w:rPr>
        <w:t>TABLE S1</w:t>
      </w:r>
      <w:r w:rsidRPr="00B910A2">
        <w:rPr>
          <w:rFonts w:cstheme="minorHAnsi"/>
          <w:lang w:val="en-GB"/>
        </w:rPr>
        <w:t xml:space="preserve"> Overview of</w:t>
      </w:r>
      <w:r w:rsidRPr="00167BDC">
        <w:rPr>
          <w:rFonts w:cstheme="minorHAnsi"/>
          <w:lang w:val="en-GB"/>
        </w:rPr>
        <w:t xml:space="preserve"> </w:t>
      </w:r>
      <w:r w:rsidRPr="001801BF">
        <w:rPr>
          <w:rFonts w:cstheme="minorHAnsi"/>
          <w:lang w:val="en-GB"/>
        </w:rPr>
        <w:t>plant species</w:t>
      </w:r>
      <w:r>
        <w:rPr>
          <w:rFonts w:cstheme="minorHAnsi"/>
          <w:lang w:val="en-GB"/>
        </w:rPr>
        <w:t xml:space="preserve"> that</w:t>
      </w:r>
      <w:r w:rsidRPr="00B910A2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have</w:t>
      </w:r>
      <w:r w:rsidRPr="00B910A2">
        <w:rPr>
          <w:rFonts w:cstheme="minorHAnsi"/>
          <w:lang w:val="en-GB"/>
        </w:rPr>
        <w:t xml:space="preserve"> not flower</w:t>
      </w:r>
      <w:r>
        <w:rPr>
          <w:rFonts w:cstheme="minorHAnsi"/>
          <w:lang w:val="en-GB"/>
        </w:rPr>
        <w:t>ed</w:t>
      </w:r>
      <w:r w:rsidRPr="00B910A2">
        <w:rPr>
          <w:rFonts w:cstheme="minorHAnsi"/>
          <w:lang w:val="en-GB"/>
        </w:rPr>
        <w:t xml:space="preserve"> in </w:t>
      </w:r>
      <w:r>
        <w:rPr>
          <w:rFonts w:cstheme="minorHAnsi"/>
          <w:lang w:val="en-GB"/>
        </w:rPr>
        <w:t>the named plots</w:t>
      </w:r>
    </w:p>
    <w:tbl>
      <w:tblPr>
        <w:tblW w:w="440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028"/>
      </w:tblGrid>
      <w:tr w:rsidR="00962B47" w:rsidRPr="002F206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de-DE"/>
              </w:rPr>
            </w:pPr>
          </w:p>
        </w:tc>
      </w:tr>
      <w:tr w:rsidR="00962B47" w:rsidRPr="00E9372A" w:rsidTr="004F7655">
        <w:trPr>
          <w:trHeight w:val="500"/>
        </w:trPr>
        <w:tc>
          <w:tcPr>
            <w:tcW w:w="3380" w:type="dxa"/>
            <w:shd w:val="clear" w:color="auto" w:fill="BDD6EE" w:themeFill="accent1" w:themeFillTint="66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e-DE"/>
              </w:rPr>
            </w:pPr>
            <w:r w:rsidRPr="00E9372A">
              <w:rPr>
                <w:rFonts w:ascii="Calibri" w:eastAsia="Times New Roman" w:hAnsi="Calibri" w:cs="Calibri"/>
                <w:b/>
                <w:bCs/>
                <w:color w:val="000000"/>
                <w:lang w:val="en-GB" w:eastAsia="de-DE"/>
              </w:rPr>
              <w:t>Plant species</w:t>
            </w:r>
          </w:p>
        </w:tc>
        <w:tc>
          <w:tcPr>
            <w:tcW w:w="1028" w:type="dxa"/>
            <w:shd w:val="clear" w:color="auto" w:fill="BDD6EE" w:themeFill="accent1" w:themeFillTint="66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de-DE"/>
              </w:rPr>
            </w:pPr>
            <w:r w:rsidRPr="00E9372A">
              <w:rPr>
                <w:rFonts w:ascii="Calibri" w:eastAsia="Times New Roman" w:hAnsi="Calibri" w:cs="Calibri"/>
                <w:b/>
                <w:bCs/>
                <w:color w:val="000000"/>
                <w:lang w:val="en-GB" w:eastAsia="de-DE"/>
              </w:rPr>
              <w:t>Plot no.</w:t>
            </w:r>
          </w:p>
        </w:tc>
      </w:tr>
      <w:tr w:rsidR="00962B47" w:rsidRPr="00E9372A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r w:rsidRPr="00AF5486">
              <w:rPr>
                <w:rFonts w:eastAsia="Times New Roman" w:cstheme="minorHAnsi"/>
                <w:i/>
                <w:iCs/>
                <w:color w:val="000000"/>
                <w:lang w:eastAsia="de-DE"/>
              </w:rPr>
              <w:t>Thermopsis chinensis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</w:pPr>
            <w:r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  <w:t>1 -10</w:t>
            </w:r>
          </w:p>
        </w:tc>
      </w:tr>
      <w:tr w:rsidR="00962B47" w:rsidRPr="00E9372A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Campanula </w:t>
            </w:r>
            <w:proofErr w:type="spellStart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portenschlagiana</w:t>
            </w:r>
            <w:proofErr w:type="spellEnd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 </w:t>
            </w:r>
            <w:r w:rsidRPr="00E9372A">
              <w:rPr>
                <w:rFonts w:ascii="Calibri" w:eastAsia="Times New Roman" w:hAnsi="Calibri" w:cs="Calibri"/>
                <w:iCs/>
                <w:color w:val="000000"/>
                <w:lang w:val="en-GB" w:eastAsia="de-DE"/>
              </w:rPr>
              <w:t>'Birch'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</w:pPr>
            <w:r w:rsidRPr="00E9372A"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  <w:t>7</w:t>
            </w:r>
          </w:p>
        </w:tc>
      </w:tr>
      <w:tr w:rsidR="00962B47" w:rsidRPr="00E9372A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proofErr w:type="spellStart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lastRenderedPageBreak/>
              <w:t>Centaurea</w:t>
            </w:r>
            <w:proofErr w:type="spellEnd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 </w:t>
            </w:r>
            <w:proofErr w:type="spellStart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dealbata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</w:pPr>
            <w:r w:rsidRPr="00E9372A"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  <w:t>7</w:t>
            </w:r>
          </w:p>
        </w:tc>
      </w:tr>
      <w:tr w:rsidR="00962B47" w:rsidRPr="00E9372A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Salvia </w:t>
            </w:r>
            <w:proofErr w:type="spellStart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pratensis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</w:pPr>
            <w:r w:rsidRPr="00E9372A"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  <w:t>10</w:t>
            </w:r>
          </w:p>
        </w:tc>
      </w:tr>
      <w:tr w:rsidR="00962B47" w:rsidRPr="00E9372A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Lotus </w:t>
            </w:r>
            <w:proofErr w:type="spellStart"/>
            <w:r w:rsidRPr="00E9372A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corniculatus</w:t>
            </w:r>
            <w:proofErr w:type="spellEnd"/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E9372A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</w:pPr>
            <w:r w:rsidRPr="00E9372A">
              <w:rPr>
                <w:rFonts w:ascii="Lato" w:eastAsia="Times New Roman" w:hAnsi="Lato" w:cs="Calibri"/>
                <w:sz w:val="24"/>
                <w:szCs w:val="24"/>
                <w:lang w:val="en-GB" w:eastAsia="de-DE"/>
              </w:rPr>
              <w:t>6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Lotus corniculatus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8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Lotus corniculatus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9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Lotus corniculatus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10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Asclepias tuberosa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7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Kniphofia uvaria </w:t>
            </w:r>
            <w:r w:rsidRPr="009F3F3C">
              <w:rPr>
                <w:rFonts w:ascii="Calibri" w:eastAsia="Times New Roman" w:hAnsi="Calibri" w:cs="Calibri"/>
                <w:iCs/>
                <w:color w:val="000000"/>
                <w:lang w:eastAsia="de-DE"/>
              </w:rPr>
              <w:t>'Grandiflora'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7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</w:pPr>
            <w:proofErr w:type="spellStart"/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Agastache</w:t>
            </w:r>
            <w:proofErr w:type="spellEnd"/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  x </w:t>
            </w:r>
            <w:proofErr w:type="spellStart"/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>cultorum</w:t>
            </w:r>
            <w:proofErr w:type="spellEnd"/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val="en-GB" w:eastAsia="de-DE"/>
              </w:rPr>
              <w:t xml:space="preserve"> </w:t>
            </w:r>
            <w:r w:rsidRPr="009F3F3C">
              <w:rPr>
                <w:rFonts w:ascii="Calibri" w:eastAsia="Times New Roman" w:hAnsi="Calibri" w:cs="Calibri"/>
                <w:iCs/>
                <w:color w:val="000000"/>
                <w:lang w:val="en-GB" w:eastAsia="de-DE"/>
              </w:rPr>
              <w:t>'Blue Boa®'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7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Helenium x cultorum </w:t>
            </w:r>
            <w:r w:rsidRPr="009F3F3C">
              <w:rPr>
                <w:rFonts w:ascii="Calibri" w:eastAsia="Times New Roman" w:hAnsi="Calibri" w:cs="Calibri"/>
                <w:iCs/>
                <w:color w:val="000000"/>
                <w:lang w:eastAsia="de-DE"/>
              </w:rPr>
              <w:t>'Rubinzwerg'</w:t>
            </w: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7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Helenium x cultorum </w:t>
            </w:r>
            <w:r w:rsidRPr="009F3F3C">
              <w:rPr>
                <w:rFonts w:ascii="Calibri" w:eastAsia="Times New Roman" w:hAnsi="Calibri" w:cs="Calibri"/>
                <w:iCs/>
                <w:color w:val="000000"/>
                <w:lang w:eastAsia="de-DE"/>
              </w:rPr>
              <w:t xml:space="preserve">'Rubinzwerg'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8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 xml:space="preserve">Helenium x cultorum </w:t>
            </w:r>
            <w:r w:rsidRPr="009F3F3C">
              <w:rPr>
                <w:rFonts w:ascii="Calibri" w:eastAsia="Times New Roman" w:hAnsi="Calibri" w:cs="Calibri"/>
                <w:iCs/>
                <w:color w:val="000000"/>
                <w:lang w:eastAsia="de-DE"/>
              </w:rPr>
              <w:t xml:space="preserve">'Rubinzwerg' 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9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Ceratostigma plumbaginoides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2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</w:pPr>
            <w:r w:rsidRPr="00511093">
              <w:rPr>
                <w:rFonts w:ascii="Calibri" w:eastAsia="Times New Roman" w:hAnsi="Calibri" w:cs="Calibri"/>
                <w:i/>
                <w:iCs/>
                <w:color w:val="000000"/>
                <w:lang w:eastAsia="de-DE"/>
              </w:rPr>
              <w:t>Ceratostigma plumbaginoides</w:t>
            </w: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Lato" w:eastAsia="Times New Roman" w:hAnsi="Lato" w:cs="Calibri"/>
                <w:sz w:val="24"/>
                <w:szCs w:val="24"/>
                <w:lang w:eastAsia="de-DE"/>
              </w:rPr>
            </w:pPr>
            <w:r w:rsidRPr="00511093">
              <w:rPr>
                <w:rFonts w:ascii="Lato" w:eastAsia="Times New Roman" w:hAnsi="Lato" w:cs="Calibri"/>
                <w:sz w:val="24"/>
                <w:szCs w:val="24"/>
                <w:lang w:eastAsia="de-DE"/>
              </w:rPr>
              <w:t>10</w:t>
            </w:r>
          </w:p>
        </w:tc>
      </w:tr>
      <w:tr w:rsidR="00962B47" w:rsidRPr="00511093" w:rsidTr="004F7655">
        <w:trPr>
          <w:trHeight w:val="360"/>
        </w:trPr>
        <w:tc>
          <w:tcPr>
            <w:tcW w:w="3380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028" w:type="dxa"/>
            <w:shd w:val="clear" w:color="auto" w:fill="auto"/>
            <w:noWrap/>
            <w:vAlign w:val="center"/>
            <w:hideMark/>
          </w:tcPr>
          <w:p w:rsidR="00962B47" w:rsidRPr="00511093" w:rsidRDefault="00962B47" w:rsidP="004F7655">
            <w:pPr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962B47" w:rsidRDefault="00962B47" w:rsidP="00962B47">
      <w:pPr>
        <w:pStyle w:val="CitaviBibliographyEntry"/>
        <w:rPr>
          <w:lang w:val="en-GB"/>
        </w:rPr>
      </w:pPr>
    </w:p>
    <w:p w:rsidR="002965E2" w:rsidRDefault="002965E2">
      <w:bookmarkStart w:id="0" w:name="_GoBack"/>
      <w:bookmarkEnd w:id="0"/>
    </w:p>
    <w:sectPr w:rsidR="002965E2" w:rsidSect="00276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87" w:rsidRDefault="00962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4D"/>
    <w:rsid w:val="001B2C4D"/>
    <w:rsid w:val="002965E2"/>
    <w:rsid w:val="009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96CC6-6474-4323-8490-4313230D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B47"/>
    <w:pPr>
      <w:spacing w:after="0" w:line="240" w:lineRule="auto"/>
      <w:jc w:val="both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62B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962B47"/>
    <w:pPr>
      <w:tabs>
        <w:tab w:val="left" w:pos="283"/>
      </w:tabs>
      <w:spacing w:after="60"/>
      <w:ind w:left="283" w:hanging="283"/>
      <w:jc w:val="left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962B47"/>
    <w:rPr>
      <w:lang w:val="de-DE"/>
    </w:rPr>
  </w:style>
  <w:style w:type="paragraph" w:styleId="Header">
    <w:name w:val="header"/>
    <w:basedOn w:val="Normal"/>
    <w:link w:val="HeaderChar"/>
    <w:uiPriority w:val="99"/>
    <w:semiHidden/>
    <w:unhideWhenUsed/>
    <w:rsid w:val="00962B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2B47"/>
    <w:rPr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962B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B47"/>
    <w:rPr>
      <w:lang w:val="de-DE"/>
    </w:rPr>
  </w:style>
  <w:style w:type="character" w:styleId="LineNumber">
    <w:name w:val="line number"/>
    <w:basedOn w:val="DefaultParagraphFont"/>
    <w:uiPriority w:val="99"/>
    <w:semiHidden/>
    <w:unhideWhenUsed/>
    <w:rsid w:val="0096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chart" Target="charts/chart1.xml"/><Relationship Id="rId10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840g3\Documents\Doktorarbeit\mein%20paper\Graphen\Fl&#228;chen%20Bl&#252;tenbescuher%20und%20Fra&#223;schad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Tabelle1!$B$22</c:f>
              <c:strCache>
                <c:ptCount val="1"/>
                <c:pt idx="0">
                  <c:v>NATIVE</c:v>
                </c:pt>
              </c:strCache>
            </c:strRef>
          </c:tx>
          <c:spPr>
            <a:solidFill>
              <a:srgbClr val="008A3E"/>
            </a:solidFill>
          </c:spPr>
          <c:invertIfNegative val="0"/>
          <c:cat>
            <c:strRef>
              <c:f>Tabelle1!$A$23:$A$32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Tabelle1!$B$23:$B$32</c:f>
              <c:numCache>
                <c:formatCode>0.00</c:formatCode>
                <c:ptCount val="10"/>
                <c:pt idx="0">
                  <c:v>5.3453333333333424</c:v>
                </c:pt>
                <c:pt idx="1">
                  <c:v>3.1640000000000001</c:v>
                </c:pt>
                <c:pt idx="2">
                  <c:v>2.0800000000000005</c:v>
                </c:pt>
                <c:pt idx="3">
                  <c:v>4.7673333333333323</c:v>
                </c:pt>
                <c:pt idx="4">
                  <c:v>1.6139999999999877</c:v>
                </c:pt>
                <c:pt idx="5">
                  <c:v>2.5659999999999998</c:v>
                </c:pt>
                <c:pt idx="6">
                  <c:v>1.8673333333333335</c:v>
                </c:pt>
                <c:pt idx="7">
                  <c:v>1.1260000000000001</c:v>
                </c:pt>
                <c:pt idx="8">
                  <c:v>0.24133333333333509</c:v>
                </c:pt>
                <c:pt idx="9">
                  <c:v>0.39266666666667155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67-4032-B94A-99BE9BC1A393}"/>
            </c:ext>
          </c:extLst>
        </c:ser>
        <c:ser>
          <c:idx val="1"/>
          <c:order val="1"/>
          <c:tx>
            <c:strRef>
              <c:f>Tabelle1!$C$22</c:f>
              <c:strCache>
                <c:ptCount val="1"/>
                <c:pt idx="0">
                  <c:v>RELATED</c:v>
                </c:pt>
              </c:strCache>
            </c:strRef>
          </c:tx>
          <c:spPr>
            <a:solidFill>
              <a:srgbClr val="FFC91D"/>
            </a:solidFill>
          </c:spPr>
          <c:invertIfNegative val="0"/>
          <c:cat>
            <c:strRef>
              <c:f>Tabelle1!$A$23:$A$32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Tabelle1!$C$23:$C$32</c:f>
              <c:numCache>
                <c:formatCode>0.00</c:formatCode>
                <c:ptCount val="10"/>
                <c:pt idx="0">
                  <c:v>1.3853333333333335</c:v>
                </c:pt>
                <c:pt idx="1">
                  <c:v>0.35266666666667001</c:v>
                </c:pt>
                <c:pt idx="2">
                  <c:v>0.60066666666666668</c:v>
                </c:pt>
                <c:pt idx="3">
                  <c:v>3.9359999999999977</c:v>
                </c:pt>
                <c:pt idx="4">
                  <c:v>0.33133333333333331</c:v>
                </c:pt>
                <c:pt idx="5">
                  <c:v>0.9813333333333335</c:v>
                </c:pt>
                <c:pt idx="6">
                  <c:v>5.2000000000000032E-2</c:v>
                </c:pt>
                <c:pt idx="7">
                  <c:v>0.31800000000000289</c:v>
                </c:pt>
                <c:pt idx="8">
                  <c:v>8.466666666666807E-2</c:v>
                </c:pt>
                <c:pt idx="9">
                  <c:v>5.5333333333334143E-2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67-4032-B94A-99BE9BC1A393}"/>
            </c:ext>
          </c:extLst>
        </c:ser>
        <c:ser>
          <c:idx val="2"/>
          <c:order val="2"/>
          <c:tx>
            <c:strRef>
              <c:f>Tabelle1!$D$22</c:f>
              <c:strCache>
                <c:ptCount val="1"/>
                <c:pt idx="0">
                  <c:v>EXOTIC</c:v>
                </c:pt>
              </c:strCache>
            </c:strRef>
          </c:tx>
          <c:spPr>
            <a:solidFill>
              <a:srgbClr val="FF99CC"/>
            </a:solidFill>
          </c:spPr>
          <c:invertIfNegative val="0"/>
          <c:cat>
            <c:strRef>
              <c:f>Tabelle1!$A$23:$A$32</c:f>
              <c:strCach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strCache>
            </c:strRef>
          </c:cat>
          <c:val>
            <c:numRef>
              <c:f>Tabelle1!$D$23:$D$32</c:f>
              <c:numCache>
                <c:formatCode>0.00</c:formatCode>
                <c:ptCount val="10"/>
                <c:pt idx="0">
                  <c:v>0.27266666666666928</c:v>
                </c:pt>
                <c:pt idx="1">
                  <c:v>0.10966666666666773</c:v>
                </c:pt>
                <c:pt idx="2">
                  <c:v>4.9333333333334284E-2</c:v>
                </c:pt>
                <c:pt idx="3">
                  <c:v>0.1516666666666667</c:v>
                </c:pt>
                <c:pt idx="4">
                  <c:v>0.29280000000000289</c:v>
                </c:pt>
                <c:pt idx="5">
                  <c:v>0.19866666666666669</c:v>
                </c:pt>
                <c:pt idx="6">
                  <c:v>5.6000000000000022E-2</c:v>
                </c:pt>
                <c:pt idx="7">
                  <c:v>0.16480000000000006</c:v>
                </c:pt>
                <c:pt idx="8">
                  <c:v>1.8800000000000167E-2</c:v>
                </c:pt>
                <c:pt idx="9">
                  <c:v>4.1333333333333534E-2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67-4032-B94A-99BE9BC1A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397662560"/>
        <c:axId val="-1397664736"/>
      </c:barChart>
      <c:catAx>
        <c:axId val="-139766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Plot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crossAx val="-1397664736"/>
        <c:crosses val="autoZero"/>
        <c:auto val="1"/>
        <c:lblAlgn val="ctr"/>
        <c:lblOffset val="100"/>
        <c:noMultiLvlLbl val="0"/>
      </c:catAx>
      <c:valAx>
        <c:axId val="-13976647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b="0"/>
                  <a:t>Feeding damage (%)</a:t>
                </a:r>
                <a:r>
                  <a:rPr lang="en-US"/>
                  <a:t> </a:t>
                </a:r>
              </a:p>
            </c:rich>
          </c:tx>
          <c:layout/>
          <c:overlay val="0"/>
        </c:title>
        <c:numFmt formatCode="0" sourceLinked="0"/>
        <c:majorTickMark val="out"/>
        <c:minorTickMark val="none"/>
        <c:tickLblPos val="nextTo"/>
        <c:crossAx val="-1397662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Vishali K Kumaresan</dc:creator>
  <cp:keywords/>
  <dc:description/>
  <cp:lastModifiedBy>Hema Vishali K Kumaresan</cp:lastModifiedBy>
  <cp:revision>2</cp:revision>
  <dcterms:created xsi:type="dcterms:W3CDTF">2024-09-04T15:32:00Z</dcterms:created>
  <dcterms:modified xsi:type="dcterms:W3CDTF">2024-09-04T15:32:00Z</dcterms:modified>
</cp:coreProperties>
</file>