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3285C" w14:textId="4E189316" w:rsidR="00E326B4" w:rsidRPr="00E326B4" w:rsidRDefault="00E326B4" w:rsidP="00E326B4">
      <w:pPr>
        <w:pStyle w:val="Basetext1"/>
        <w:jc w:val="center"/>
        <w:rPr>
          <w:i/>
          <w:iCs/>
        </w:rPr>
      </w:pPr>
      <w:bookmarkStart w:id="0" w:name="_Hlk74581790"/>
      <w:r w:rsidRPr="00E326B4">
        <w:rPr>
          <w:i/>
          <w:iCs/>
        </w:rPr>
        <w:t xml:space="preserve">For submission to </w:t>
      </w:r>
      <w:r w:rsidR="00E107CB">
        <w:rPr>
          <w:i/>
          <w:iCs/>
        </w:rPr>
        <w:t>The Holocene</w:t>
      </w:r>
    </w:p>
    <w:p w14:paraId="607BA159" w14:textId="77777777" w:rsidR="00E326B4" w:rsidRPr="00E326B4" w:rsidRDefault="00E326B4" w:rsidP="00E326B4">
      <w:pPr>
        <w:pStyle w:val="Basetext1"/>
      </w:pPr>
    </w:p>
    <w:bookmarkEnd w:id="0"/>
    <w:p w14:paraId="0C5B54EC" w14:textId="27EB0FC9" w:rsidR="003224E1" w:rsidRDefault="003224E1" w:rsidP="003224E1">
      <w:pPr>
        <w:pStyle w:val="Basetext1"/>
        <w:rPr>
          <w:b/>
          <w:szCs w:val="24"/>
          <w:lang w:val="en-GB"/>
        </w:rPr>
      </w:pPr>
      <w:r>
        <w:rPr>
          <w:b/>
          <w:szCs w:val="24"/>
          <w:lang w:val="en-GB"/>
        </w:rPr>
        <w:t xml:space="preserve">Historical trend of polycyclic aromatic hydrocarbons </w:t>
      </w:r>
      <w:r w:rsidR="00DC59BD">
        <w:rPr>
          <w:b/>
          <w:szCs w:val="24"/>
          <w:lang w:val="en-GB"/>
        </w:rPr>
        <w:t xml:space="preserve">in a sediment core from Osaka Bay </w:t>
      </w:r>
      <w:r>
        <w:rPr>
          <w:b/>
          <w:szCs w:val="24"/>
          <w:lang w:val="en-GB"/>
        </w:rPr>
        <w:t xml:space="preserve">during the </w:t>
      </w:r>
      <w:r w:rsidRPr="00A44722">
        <w:rPr>
          <w:b/>
          <w:bCs/>
          <w:lang w:val="en-GB"/>
        </w:rPr>
        <w:t>Meghalayan</w:t>
      </w:r>
      <w:r w:rsidRPr="00A44722">
        <w:rPr>
          <w:b/>
          <w:bCs/>
        </w:rPr>
        <w:t xml:space="preserve"> </w:t>
      </w:r>
    </w:p>
    <w:p w14:paraId="66313F62" w14:textId="77777777" w:rsidR="00E721DB" w:rsidRDefault="00E721DB" w:rsidP="00E721DB">
      <w:pPr>
        <w:pStyle w:val="Basetext1"/>
        <w:jc w:val="center"/>
        <w:rPr>
          <w:lang w:val="en-GB"/>
        </w:rPr>
      </w:pPr>
    </w:p>
    <w:p w14:paraId="7A29BF99" w14:textId="7501F57B" w:rsidR="003224E1" w:rsidRPr="00927768" w:rsidRDefault="003224E1" w:rsidP="003224E1">
      <w:pPr>
        <w:pStyle w:val="Basetext1"/>
        <w:rPr>
          <w:lang w:val="en-GB"/>
        </w:rPr>
      </w:pPr>
      <w:bookmarkStart w:id="1" w:name="_Hlk74581808"/>
      <w:r w:rsidRPr="00927768">
        <w:rPr>
          <w:lang w:val="en-GB"/>
        </w:rPr>
        <w:t>Kai Nils Nitzsche</w:t>
      </w:r>
      <w:r w:rsidRPr="002D522F">
        <w:rPr>
          <w:rFonts w:eastAsia="Times New Roman" w:cs="Times New Roman"/>
          <w:color w:val="000000"/>
          <w:szCs w:val="24"/>
          <w:vertAlign w:val="superscript"/>
        </w:rPr>
        <w:t>‡</w:t>
      </w:r>
      <w:r w:rsidRPr="00927768">
        <w:rPr>
          <w:lang w:val="en-GB"/>
        </w:rPr>
        <w:t xml:space="preserve">, Naoto F. Ishikawa, Toshihiro Yoshimura, </w:t>
      </w:r>
      <w:r>
        <w:rPr>
          <w:lang w:val="en-GB"/>
        </w:rPr>
        <w:t xml:space="preserve">Hiroto Kajita, Hodaka Kawahata, </w:t>
      </w:r>
      <w:r w:rsidRPr="00927768">
        <w:rPr>
          <w:lang w:val="en-GB"/>
        </w:rPr>
        <w:t xml:space="preserve">Nanako O. Ogawa, </w:t>
      </w:r>
      <w:r w:rsidR="00D53269">
        <w:rPr>
          <w:lang w:val="en-GB"/>
        </w:rPr>
        <w:t xml:space="preserve">Hisami Suga </w:t>
      </w:r>
      <w:r w:rsidRPr="00927768">
        <w:rPr>
          <w:lang w:val="en-GB"/>
        </w:rPr>
        <w:t xml:space="preserve">and </w:t>
      </w:r>
      <w:proofErr w:type="spellStart"/>
      <w:r w:rsidRPr="00927768">
        <w:rPr>
          <w:lang w:val="en-GB"/>
        </w:rPr>
        <w:t>Naohiko</w:t>
      </w:r>
      <w:proofErr w:type="spellEnd"/>
      <w:r w:rsidRPr="00927768">
        <w:rPr>
          <w:lang w:val="en-GB"/>
        </w:rPr>
        <w:t xml:space="preserve"> </w:t>
      </w:r>
      <w:proofErr w:type="spellStart"/>
      <w:r w:rsidRPr="00927768">
        <w:rPr>
          <w:lang w:val="en-GB"/>
        </w:rPr>
        <w:t>Ohkouchi</w:t>
      </w:r>
      <w:proofErr w:type="spellEnd"/>
    </w:p>
    <w:bookmarkEnd w:id="1"/>
    <w:p w14:paraId="1ACFC7EF" w14:textId="0C8F3A1F" w:rsidR="00A11DFA" w:rsidRPr="00E721DB" w:rsidRDefault="00A11DFA" w:rsidP="00A11DFA">
      <w:pPr>
        <w:pStyle w:val="BaseText"/>
      </w:pPr>
    </w:p>
    <w:p w14:paraId="46E21FFE" w14:textId="0BCB6C36" w:rsidR="008F628E" w:rsidRPr="008F628E" w:rsidRDefault="008F628E" w:rsidP="008F628E">
      <w:pPr>
        <w:pStyle w:val="BaseText"/>
        <w:spacing w:line="240" w:lineRule="auto"/>
        <w:rPr>
          <w:sz w:val="20"/>
        </w:rPr>
      </w:pPr>
      <w:r w:rsidRPr="008F628E">
        <w:rPr>
          <w:sz w:val="20"/>
        </w:rPr>
        <w:t xml:space="preserve">Email contact: </w:t>
      </w:r>
      <w:r w:rsidR="0079030A">
        <w:rPr>
          <w:sz w:val="20"/>
        </w:rPr>
        <w:t>nitzsche@geo.tu-darmstadt.de</w:t>
      </w:r>
    </w:p>
    <w:p w14:paraId="630A0CFF" w14:textId="1A070085" w:rsidR="00526019" w:rsidRPr="00671BF8" w:rsidRDefault="00526019">
      <w:pPr>
        <w:widowControl/>
        <w:jc w:val="left"/>
        <w:rPr>
          <w:lang w:val="en-GB"/>
        </w:rPr>
      </w:pPr>
      <w:r w:rsidRPr="00671BF8">
        <w:rPr>
          <w:lang w:val="en-GB"/>
        </w:rPr>
        <w:br w:type="page"/>
      </w:r>
    </w:p>
    <w:p w14:paraId="409605B2" w14:textId="77777777" w:rsidR="00526019" w:rsidRDefault="00526019" w:rsidP="00526019">
      <w:pPr>
        <w:pStyle w:val="Basetext1"/>
      </w:pPr>
      <w:r>
        <w:rPr>
          <w:noProof/>
        </w:rPr>
        <w:lastRenderedPageBreak/>
        <w:drawing>
          <wp:inline distT="0" distB="0" distL="0" distR="0" wp14:anchorId="092E1DCA" wp14:editId="49397CFD">
            <wp:extent cx="5761355" cy="3841115"/>
            <wp:effectExtent l="0" t="0" r="0" b="6985"/>
            <wp:docPr id="2" name="Grafik 2" descr="Ein Bild, das Text, Karte, Diagramm,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Karte, Diagramm, Schrift enthält.&#10;&#10;Automatisch generierte Beschreibu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1355" cy="3841115"/>
                    </a:xfrm>
                    <a:prstGeom prst="rect">
                      <a:avLst/>
                    </a:prstGeom>
                    <a:noFill/>
                  </pic:spPr>
                </pic:pic>
              </a:graphicData>
            </a:graphic>
          </wp:inline>
        </w:drawing>
      </w:r>
    </w:p>
    <w:p w14:paraId="566559AD" w14:textId="7F872890" w:rsidR="00D53269" w:rsidRDefault="00526019" w:rsidP="00526019">
      <w:pPr>
        <w:pStyle w:val="Basetext1"/>
        <w:rPr>
          <w:lang w:val="en-GB"/>
        </w:rPr>
      </w:pPr>
      <w:r>
        <w:t xml:space="preserve">Figure S1. </w:t>
      </w:r>
      <w:r>
        <w:rPr>
          <w:lang w:val="en-GB"/>
        </w:rPr>
        <w:t>Kawachi Lake during the 3</w:t>
      </w:r>
      <w:r w:rsidRPr="00AD201B">
        <w:rPr>
          <w:vertAlign w:val="superscript"/>
          <w:lang w:val="en-GB"/>
        </w:rPr>
        <w:t>rd</w:t>
      </w:r>
      <w:r>
        <w:rPr>
          <w:lang w:val="en-GB"/>
        </w:rPr>
        <w:t xml:space="preserve"> and 4</w:t>
      </w:r>
      <w:r w:rsidRPr="00AD201B">
        <w:rPr>
          <w:vertAlign w:val="superscript"/>
          <w:lang w:val="en-GB"/>
        </w:rPr>
        <w:t>th</w:t>
      </w:r>
      <w:r>
        <w:rPr>
          <w:lang w:val="en-GB"/>
        </w:rPr>
        <w:t xml:space="preserve"> centuries CE The location of Naniwa no Horie canal and the port Naniwa-</w:t>
      </w:r>
      <w:proofErr w:type="spellStart"/>
      <w:r>
        <w:rPr>
          <w:lang w:val="en-GB"/>
        </w:rPr>
        <w:t>tsu</w:t>
      </w:r>
      <w:proofErr w:type="spellEnd"/>
      <w:r>
        <w:rPr>
          <w:lang w:val="en-GB"/>
        </w:rPr>
        <w:t xml:space="preserve"> (constructed in the 5</w:t>
      </w:r>
      <w:r w:rsidRPr="00AD201B">
        <w:rPr>
          <w:vertAlign w:val="superscript"/>
          <w:lang w:val="en-GB"/>
        </w:rPr>
        <w:t>th</w:t>
      </w:r>
      <w:r>
        <w:rPr>
          <w:lang w:val="en-GB"/>
        </w:rPr>
        <w:t xml:space="preserve"> century AD), of Naniwa Palace and the present Yodo River and Yamato River are also shown. </w:t>
      </w:r>
      <w:r w:rsidR="00BD3DD1">
        <w:rPr>
          <w:lang w:val="en-GB"/>
        </w:rPr>
        <w:t xml:space="preserve">The figure is reproduced from </w:t>
      </w:r>
      <w:r w:rsidR="00BD3DD1">
        <w:rPr>
          <w:lang w:val="en-GB"/>
        </w:rPr>
        <w:fldChar w:fldCharType="begin" w:fldLock="1"/>
      </w:r>
      <w:r w:rsidR="00E107CB">
        <w:rPr>
          <w:lang w:val="en-GB"/>
        </w:rPr>
        <w:instrText>ADDIN CSL_CITATION {"citationItems":[{"id":"ITEM-1","itemData":{"DOI":"10.1186/s40645-022-00517-z","ISBN":"4064502200517","ISSN":"2197-4284","author":[{"dropping-particle":"","family":"Nitzsche","given":"Kai Nils","non-dropping-particle":"","parse-names":false,"suffix":""},{"dropping-particle":"","family":"Yoshimura","given":"Toshihiro","non-dropping-particle":"","parse-names":false,"suffix":""},{"dropping-particle":"","family":"Ishikawa","given":"Naoto F","non-dropping-particle":"","parse-names":false,"suffix":""},{"dropping-particle":"","family":"Kajita","given":"Hiroto","non-dropping-particle":"","parse-names":false,"suffix":""},{"dropping-particle":"","family":"Kawahata","given":"Hodaka","non-dropping-particle":"","parse-names":false,"suffix":""},{"dropping-particle":"","family":"Ogawa","given":"Nanako O","non-dropping-particle":"","parse-names":false,"suffix":""},{"dropping-particle":"","family":"Suzuki","given":"Katsuhiko","non-dropping-particle":"","parse-names":false,"suffix":""},{"dropping-particle":"","family":"Yokoyama","given":"Yusuke","non-dropping-particle":"","parse-names":false,"suffix":""},{"dropping-particle":"","family":"Ohkouchi","given":"Naohiko","non-dropping-particle":"","parse-names":false,"suffix":""}],"container-title":"Progress in Earth and Planetary Science","id":"ITEM-1","issued":{"date-parts":[["2022"]]},"page":"58","title":"Metal contamination in a sediment core from Osaka Bay during the last 400 years","type":"article-journal","volume":"9"},"uris":["http://www.mendeley.com/documents/?uuid=aa8bf319-dcb6-46c7-ace4-7648cb02e226"]}],"mendeley":{"formattedCitation":"(Nitzsche et al., 2022)","manualFormatting":"Nitzsche et al. (2022)","plainTextFormattedCitation":"(Nitzsche et al., 2022)","previouslyFormattedCitation":"(Nitzsche et al., 2022)"},"properties":{"noteIndex":0},"schema":"https://github.com/citation-style-language/schema/raw/master/csl-citation.json"}</w:instrText>
      </w:r>
      <w:r w:rsidR="00BD3DD1">
        <w:rPr>
          <w:lang w:val="en-GB"/>
        </w:rPr>
        <w:fldChar w:fldCharType="separate"/>
      </w:r>
      <w:r w:rsidR="00BD3DD1" w:rsidRPr="007E696A">
        <w:rPr>
          <w:noProof/>
          <w:lang w:val="en-GB"/>
        </w:rPr>
        <w:t xml:space="preserve">Nitzsche et al. </w:t>
      </w:r>
      <w:r w:rsidR="00BD3DD1">
        <w:rPr>
          <w:noProof/>
          <w:lang w:val="en-GB"/>
        </w:rPr>
        <w:t>(</w:t>
      </w:r>
      <w:r w:rsidR="00BD3DD1" w:rsidRPr="007E696A">
        <w:rPr>
          <w:noProof/>
          <w:lang w:val="en-GB"/>
        </w:rPr>
        <w:t>2022)</w:t>
      </w:r>
      <w:r w:rsidR="00BD3DD1">
        <w:rPr>
          <w:lang w:val="en-GB"/>
        </w:rPr>
        <w:fldChar w:fldCharType="end"/>
      </w:r>
      <w:r w:rsidR="00BD3DD1">
        <w:rPr>
          <w:lang w:val="en-GB"/>
        </w:rPr>
        <w:t xml:space="preserve"> and was m</w:t>
      </w:r>
      <w:r>
        <w:rPr>
          <w:lang w:val="en-GB"/>
        </w:rPr>
        <w:t xml:space="preserve">odified after </w:t>
      </w:r>
      <w:r>
        <w:rPr>
          <w:lang w:val="en-GB"/>
        </w:rPr>
        <w:fldChar w:fldCharType="begin" w:fldLock="1"/>
      </w:r>
      <w:r>
        <w:rPr>
          <w:lang w:val="en-GB"/>
        </w:rPr>
        <w:instrText>ADDIN CSL_CITATION {"citationItems":[{"id":"ITEM-1","itemData":{"abstract":"Having carried out the study of the latest alluvial deposits (the Nanba Formation) in Osaka since the 1950s, the writers revealed that the developmental history of the Osaka Plain can be divided into nine stages. In this paper, numerous data on fossils, sedimentary facies, topography, prehistorical remains and historical facts are synthesized under the stratigraphical successions and the radio-carbon dates. Nine successive stages in the development of the Osaka Plain, with approximate radio-carbon dates, are as follows. 1. The stage of the paleo-Osaka Plain (ca. 20000 y.B.P., Wurm maximum, Pre-Jomon age): The geomorphological features of the Paleo-Osaka Plain are guessed by the relief map of the base of the latest alluvial deposits (Fig. 4). The river system of the Paleo-Osaka River was widely developed. 2. The stage of the Paleo-Kawachi Plain (ca. 9000 y.B.P., earliest Jomon age): The sea-level was over 20m lower than the present sea-level. Osaka Bay already existed, but the Kawachi area was not covered by sea-water as yet. 3. The stage of Kawachi Bay I (ca. 7000-6000 y.B.P., the first half of early Jomon age): The sea-level reached the same level as the present one. The Paleo-Kawachi Plain was widely covered by sea-water. A sand-bar was developed on the north of the Uemachi Upland (Fig. 6). 4. The stage of Kawachi Bay I (ca. 5000-4000 y.B.P., latest early Jomon-middle Jomon age): The sea-level was in the same level as one of Kaw</w:instrText>
      </w:r>
      <w:r>
        <w:rPr>
          <w:rFonts w:hint="eastAsia"/>
          <w:lang w:val="en-GB"/>
        </w:rPr>
        <w:instrText>achi Bay I or in a slightly higher level than that. The delta of the Yodo River was well developed. The sand-bar was further developed to the north of the Uemachi Upland (Fig. 7). 5. The stage of Kawachi Lagoon (ca. 3000-2000 y.B.P., latest Jomon</w:instrText>
      </w:r>
      <w:r>
        <w:rPr>
          <w:rFonts w:hint="eastAsia"/>
          <w:lang w:val="en-GB"/>
        </w:rPr>
        <w:instrText>～</w:instrText>
      </w:r>
      <w:r>
        <w:rPr>
          <w:rFonts w:hint="eastAsia"/>
          <w:lang w:val="en-GB"/>
        </w:rPr>
        <w:instrText>the firs</w:instrText>
      </w:r>
      <w:r>
        <w:rPr>
          <w:lang w:val="en-GB"/>
        </w:rPr>
        <w:instrText>t half of Yayoi age): Owing to the development of the sand-bar north of the Uemachi Upland, Kawachi Lagoon was formed. Standella capillacea (tropical to subtropical, brackish water species) at the inlet and Corbicula sandai (Lake Biwa, freshwater species)</w:instrText>
      </w:r>
      <w:r>
        <w:rPr>
          <w:rFonts w:hint="eastAsia"/>
          <w:lang w:val="en-GB"/>
        </w:rPr>
        <w:instrText xml:space="preserve"> in the inner part are characteristic (Fig. 8). 6. The stage of Lake Kawachi I (ca. 1800-1600 y.B.P., late Yayoi</w:instrText>
      </w:r>
      <w:r>
        <w:rPr>
          <w:rFonts w:hint="eastAsia"/>
          <w:lang w:val="en-GB"/>
        </w:rPr>
        <w:instrText>～</w:instrText>
      </w:r>
      <w:r>
        <w:rPr>
          <w:rFonts w:hint="eastAsia"/>
          <w:lang w:val="en-GB"/>
        </w:rPr>
        <w:instrText>early Kofun age): Through the subsequent development of the sand-bar on the north of the Uemachi Upland. Kawachi Lagoon changed into Lake Kawachi. The delta of the Yodo River finally reached the sand-bar (Fig. 9). 7. The stage of Kawachi Lake II (Nintoku</w:instrText>
      </w:r>
      <w:r>
        <w:rPr>
          <w:rFonts w:hint="eastAsia"/>
          <w:lang w:val="en-GB"/>
        </w:rPr>
        <w:instrText>～</w:instrText>
      </w:r>
      <w:r>
        <w:rPr>
          <w:rFonts w:hint="eastAsia"/>
          <w:lang w:val="en-GB"/>
        </w:rPr>
        <w:instrText>Nara age): In the time of the Emperor Nintoku (ca. A.D. 400), Ookawa (the Oo River) was, excavated at the base of the aforesaid sand-bar. A pa</w:instrText>
      </w:r>
      <w:r>
        <w:rPr>
          <w:lang w:val="en-GB"/>
        </w:rPr>
        <w:instrText>rt of Kawachi Lake near…","author":[{"dropping-particle":"","family":"Kajiyama","given":"Hikotaro","non-dropping-particle":"","parse-names":false,"suffix":""},{"dropping-particle":"","family":"Itihara","given":"Minoru","non-dropping-particle":"","parse-names":false,"suffix":""}],"container-title":"The Geological Society of Japan","id":"ITEM-1","issued":{"date-parts":[["1972"]]},"page":"101-112","title":"The developmental history of the Osaka Plain with references to the radio-carbon dates","type":"article-journal","volume":"7"},"uris":["http://www.mendeley.com/documents/?uuid=77bef663-901a-40f8-afc0-52e469b19a11"]},{"id":"ITEM-2","itemData":{"author":[{"dropping-particle":"","family":"Kajiyama","given":"Hikotaro","non-dropping-particle":"","parse-names":false,"suffix":""},{"dropping-particle":"","family":"Ichihara","given":"Minoru","non-dropping-particle":"","parse-names":false,"suffix":""}],"id":"ITEM-2","issued":{"date-parts":[["1986"]]},"number-of-pages":"138","publisher":"Aoki Shoten","publisher-place":"Tokyo","title":"Osaka Heiya no Oitachi (Life History of the Osaka Plain)","type":"book"},"uris":["http://www.mendeley.com/documents/?uuid=cb4c8deb-d4ca-4044-bf15-b654f9faf125"]}],"mendeley":{"formattedCitation":"(Kajiyama and Ichihara, 1986; Kajiyama and Itihara, 1972)","manualFormatting":"Kajiyama and Itihara (1986), Kajiyama and Itihara (1972)","plainTextFormattedCitation":"(Kajiyama and Ichihara, 1986; Kajiyama and Itihara, 1972)","previouslyFormattedCitation":"(Kajiyama and Ichihara, 1986; Kajiyama and Itihara, 1972)"},"properties":{"noteIndex":0},"schema":"https://github.com/citation-style-language/schema/raw/master/csl-citation.json"}</w:instrText>
      </w:r>
      <w:r>
        <w:rPr>
          <w:lang w:val="en-GB"/>
        </w:rPr>
        <w:fldChar w:fldCharType="separate"/>
      </w:r>
      <w:r w:rsidRPr="00FE110F">
        <w:rPr>
          <w:noProof/>
          <w:lang w:val="en-GB"/>
        </w:rPr>
        <w:t>Kajiyama and I</w:t>
      </w:r>
      <w:r>
        <w:rPr>
          <w:noProof/>
          <w:lang w:val="en-GB"/>
        </w:rPr>
        <w:t>t</w:t>
      </w:r>
      <w:r w:rsidRPr="00FE110F">
        <w:rPr>
          <w:noProof/>
          <w:lang w:val="en-GB"/>
        </w:rPr>
        <w:t>ihara</w:t>
      </w:r>
      <w:r>
        <w:rPr>
          <w:noProof/>
          <w:lang w:val="en-GB"/>
        </w:rPr>
        <w:t xml:space="preserve"> (</w:t>
      </w:r>
      <w:r w:rsidRPr="00FE110F">
        <w:rPr>
          <w:noProof/>
          <w:lang w:val="en-GB"/>
        </w:rPr>
        <w:t>1986</w:t>
      </w:r>
      <w:r>
        <w:rPr>
          <w:noProof/>
          <w:lang w:val="en-GB"/>
        </w:rPr>
        <w:t>),</w:t>
      </w:r>
      <w:r w:rsidRPr="00FE110F">
        <w:rPr>
          <w:noProof/>
          <w:lang w:val="en-GB"/>
        </w:rPr>
        <w:t xml:space="preserve"> Kajiyama and Itihara </w:t>
      </w:r>
      <w:r>
        <w:rPr>
          <w:noProof/>
          <w:lang w:val="en-GB"/>
        </w:rPr>
        <w:t>(</w:t>
      </w:r>
      <w:r w:rsidRPr="00FE110F">
        <w:rPr>
          <w:noProof/>
          <w:lang w:val="en-GB"/>
        </w:rPr>
        <w:t>1972)</w:t>
      </w:r>
      <w:r>
        <w:rPr>
          <w:lang w:val="en-GB"/>
        </w:rPr>
        <w:fldChar w:fldCharType="end"/>
      </w:r>
      <w:r>
        <w:rPr>
          <w:lang w:val="en-GB"/>
        </w:rPr>
        <w:t xml:space="preserve"> and </w:t>
      </w:r>
      <w:r>
        <w:rPr>
          <w:lang w:val="en-GB"/>
        </w:rPr>
        <w:fldChar w:fldCharType="begin" w:fldLock="1"/>
      </w:r>
      <w:r>
        <w:rPr>
          <w:lang w:val="en-GB"/>
        </w:rPr>
        <w:instrText>ADDIN CSL_CITATION {"citationItems":[{"id":"ITEM-1","itemData":{"author":[{"dropping-particle":"","family":"Kusaka","given":"Masayoshi","non-dropping-particle":"","parse-names":false,"suffix":""}],"id":"ITEM-1","issued":{"date-parts":[["2012"]]},"number-of-pages":"290","publisher":"Kodansha","publisher-place":"Tokyo","title":"History from the topography","type":"book"},"uris":["http://www.mendeley.com/documents/?uuid=e81b5b98-313a-4cd6-9470-885b8a4fbdeb"]}],"mendeley":{"formattedCitation":"(Kusaka, 2012)","manualFormatting":"Kusaka (2012)","plainTextFormattedCitation":"(Kusaka, 2012)","previouslyFormattedCitation":"(Kusaka, 2012)"},"properties":{"noteIndex":0},"schema":"https://github.com/citation-style-language/schema/raw/master/csl-citation.json"}</w:instrText>
      </w:r>
      <w:r>
        <w:rPr>
          <w:lang w:val="en-GB"/>
        </w:rPr>
        <w:fldChar w:fldCharType="separate"/>
      </w:r>
      <w:r w:rsidRPr="0088205C">
        <w:rPr>
          <w:noProof/>
          <w:lang w:val="en-GB"/>
        </w:rPr>
        <w:t xml:space="preserve">Kusaka </w:t>
      </w:r>
      <w:r>
        <w:rPr>
          <w:noProof/>
          <w:lang w:val="en-GB"/>
        </w:rPr>
        <w:t>(</w:t>
      </w:r>
      <w:r w:rsidRPr="0088205C">
        <w:rPr>
          <w:noProof/>
          <w:lang w:val="en-GB"/>
        </w:rPr>
        <w:t>2012)</w:t>
      </w:r>
      <w:r>
        <w:rPr>
          <w:lang w:val="en-GB"/>
        </w:rPr>
        <w:fldChar w:fldCharType="end"/>
      </w:r>
      <w:r>
        <w:rPr>
          <w:lang w:val="en-GB"/>
        </w:rPr>
        <w:t xml:space="preserve">. </w:t>
      </w:r>
    </w:p>
    <w:p w14:paraId="42800EA9" w14:textId="77777777" w:rsidR="00D53269" w:rsidRDefault="00D53269">
      <w:pPr>
        <w:widowControl/>
        <w:jc w:val="left"/>
        <w:rPr>
          <w:rFonts w:ascii="Times New Roman" w:hAnsi="Times New Roman"/>
          <w:sz w:val="24"/>
          <w:lang w:val="en-GB"/>
        </w:rPr>
      </w:pPr>
      <w:r>
        <w:rPr>
          <w:lang w:val="en-GB"/>
        </w:rPr>
        <w:br w:type="page"/>
      </w:r>
    </w:p>
    <w:p w14:paraId="0D495609" w14:textId="77777777" w:rsidR="00526019" w:rsidRDefault="00526019" w:rsidP="00526019">
      <w:pPr>
        <w:pStyle w:val="Basetext1"/>
      </w:pPr>
    </w:p>
    <w:p w14:paraId="57719039" w14:textId="0042AC45" w:rsidR="00D53269" w:rsidRDefault="00D53269" w:rsidP="00D53269">
      <w:pPr>
        <w:pStyle w:val="Basetext1"/>
        <w:jc w:val="center"/>
      </w:pPr>
      <w:r>
        <w:rPr>
          <w:noProof/>
        </w:rPr>
        <w:drawing>
          <wp:inline distT="0" distB="0" distL="0" distR="0" wp14:anchorId="4D9128CB" wp14:editId="2D2A01E1">
            <wp:extent cx="4641215" cy="4481639"/>
            <wp:effectExtent l="0" t="0" r="698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48413" cy="4488590"/>
                    </a:xfrm>
                    <a:prstGeom prst="rect">
                      <a:avLst/>
                    </a:prstGeom>
                    <a:noFill/>
                  </pic:spPr>
                </pic:pic>
              </a:graphicData>
            </a:graphic>
          </wp:inline>
        </w:drawing>
      </w:r>
    </w:p>
    <w:p w14:paraId="112A4EA7" w14:textId="0C29D258" w:rsidR="00D53269" w:rsidRDefault="00D53269" w:rsidP="00526019">
      <w:pPr>
        <w:pStyle w:val="Basetext1"/>
      </w:pPr>
      <w:r>
        <w:t>Figure S2. Depth profile of the wet density determined by gamma ray transmission. Note that the pattern is relatively constant.</w:t>
      </w:r>
    </w:p>
    <w:p w14:paraId="784A3775" w14:textId="77777777" w:rsidR="00D53269" w:rsidRDefault="00D53269" w:rsidP="00526019">
      <w:pPr>
        <w:pStyle w:val="Basetext1"/>
      </w:pPr>
    </w:p>
    <w:p w14:paraId="277A04B1" w14:textId="77777777" w:rsidR="0096558F" w:rsidRDefault="0096558F">
      <w:pPr>
        <w:widowControl/>
        <w:jc w:val="left"/>
        <w:rPr>
          <w:rFonts w:ascii="Times New Roman" w:hAnsi="Times New Roman"/>
          <w:sz w:val="24"/>
          <w:lang w:val="en-US"/>
        </w:rPr>
        <w:sectPr w:rsidR="0096558F" w:rsidSect="00552F8B">
          <w:footerReference w:type="default" r:id="rId10"/>
          <w:pgSz w:w="11906" w:h="16838"/>
          <w:pgMar w:top="1418" w:right="1418" w:bottom="1418" w:left="1418" w:header="851" w:footer="992" w:gutter="0"/>
          <w:cols w:space="425"/>
          <w:docGrid w:linePitch="360"/>
        </w:sectPr>
      </w:pPr>
    </w:p>
    <w:p w14:paraId="5FE8802E" w14:textId="622AA6BD" w:rsidR="0096558F" w:rsidRPr="0096558F" w:rsidRDefault="0096558F">
      <w:pPr>
        <w:widowControl/>
        <w:jc w:val="left"/>
        <w:rPr>
          <w:rFonts w:ascii="Times New Roman" w:hAnsi="Times New Roman"/>
          <w:sz w:val="24"/>
          <w:lang w:val="en-US"/>
        </w:rPr>
      </w:pPr>
      <w:r>
        <w:rPr>
          <w:rFonts w:ascii="Times New Roman" w:hAnsi="Times New Roman"/>
          <w:noProof/>
          <w:sz w:val="24"/>
          <w:lang w:val="en-US"/>
        </w:rPr>
        <w:lastRenderedPageBreak/>
        <w:drawing>
          <wp:inline distT="0" distB="0" distL="0" distR="0" wp14:anchorId="194B9002" wp14:editId="1E1655DF">
            <wp:extent cx="7315200" cy="5206840"/>
            <wp:effectExtent l="0" t="0" r="0" b="0"/>
            <wp:docPr id="23745848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458480" name="Grafik 23745848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356671" cy="5236359"/>
                    </a:xfrm>
                    <a:prstGeom prst="rect">
                      <a:avLst/>
                    </a:prstGeom>
                  </pic:spPr>
                </pic:pic>
              </a:graphicData>
            </a:graphic>
          </wp:inline>
        </w:drawing>
      </w:r>
    </w:p>
    <w:p w14:paraId="361668F7" w14:textId="77777777" w:rsidR="00BF2269" w:rsidRDefault="00552F8B" w:rsidP="00B53F5A">
      <w:pPr>
        <w:pStyle w:val="Basetext1"/>
        <w:rPr>
          <w:rFonts w:cs="Times New Roman"/>
        </w:rPr>
        <w:sectPr w:rsidR="00BF2269" w:rsidSect="0096558F">
          <w:pgSz w:w="16838" w:h="11906" w:orient="landscape"/>
          <w:pgMar w:top="1418" w:right="1418" w:bottom="1418" w:left="1418" w:header="851" w:footer="992" w:gutter="0"/>
          <w:cols w:space="425"/>
          <w:docGrid w:linePitch="360"/>
        </w:sectPr>
      </w:pPr>
      <w:r>
        <w:rPr>
          <w:rFonts w:cs="Times New Roman"/>
        </w:rPr>
        <w:t>Figure S</w:t>
      </w:r>
      <w:r w:rsidR="00D53269">
        <w:rPr>
          <w:rFonts w:cs="Times New Roman"/>
        </w:rPr>
        <w:t>3</w:t>
      </w:r>
      <w:r>
        <w:rPr>
          <w:rFonts w:cs="Times New Roman"/>
        </w:rPr>
        <w:t xml:space="preserve">. </w:t>
      </w:r>
      <w:r w:rsidR="00E27BD6">
        <w:rPr>
          <w:rFonts w:cs="Times New Roman"/>
        </w:rPr>
        <w:t>Historical trend of individual polycyclic aromatic hydrocarbons (PAH).</w:t>
      </w:r>
    </w:p>
    <w:p w14:paraId="265A9596" w14:textId="77777777" w:rsidR="00BF2269" w:rsidRDefault="00BF2269" w:rsidP="00BF2269">
      <w:pPr>
        <w:pStyle w:val="Basetext1"/>
        <w:rPr>
          <w:rFonts w:cs="Times New Roman"/>
        </w:rPr>
      </w:pPr>
      <w:r>
        <w:rPr>
          <w:rFonts w:cs="Times New Roman"/>
          <w:noProof/>
        </w:rPr>
        <w:lastRenderedPageBreak/>
        <w:drawing>
          <wp:inline distT="0" distB="0" distL="0" distR="0" wp14:anchorId="5CF19646" wp14:editId="3B1EEB73">
            <wp:extent cx="5722819" cy="3287865"/>
            <wp:effectExtent l="0" t="0" r="0" b="8255"/>
            <wp:docPr id="878075345" name="Grafik 1" descr="Ein Bild, das Text, Reihe, Screenshot,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075345" name="Grafik 1" descr="Ein Bild, das Text, Reihe, Screenshot, Diagramm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46541" cy="3301494"/>
                    </a:xfrm>
                    <a:prstGeom prst="rect">
                      <a:avLst/>
                    </a:prstGeom>
                  </pic:spPr>
                </pic:pic>
              </a:graphicData>
            </a:graphic>
          </wp:inline>
        </w:drawing>
      </w:r>
    </w:p>
    <w:p w14:paraId="7C29716E" w14:textId="7E5F18D8" w:rsidR="00BF2269" w:rsidRDefault="00BF2269" w:rsidP="00BF2269">
      <w:pPr>
        <w:pStyle w:val="Basetext1"/>
        <w:rPr>
          <w:rFonts w:cs="Times New Roman"/>
        </w:rPr>
      </w:pPr>
      <w:r>
        <w:rPr>
          <w:rFonts w:cs="Times New Roman"/>
        </w:rPr>
        <w:t>Figure S</w:t>
      </w:r>
      <w:r>
        <w:rPr>
          <w:rFonts w:cs="Times New Roman"/>
        </w:rPr>
        <w:t>4</w:t>
      </w:r>
      <w:r>
        <w:rPr>
          <w:rFonts w:cs="Times New Roman"/>
        </w:rPr>
        <w:t xml:space="preserve">. </w:t>
      </w:r>
      <w:r w:rsidRPr="00055B9C">
        <w:t>Historical trend of the ratio</w:t>
      </w:r>
      <w:r>
        <w:t>s of Ant/(</w:t>
      </w:r>
      <w:proofErr w:type="spellStart"/>
      <w:r>
        <w:t>Ant+Phe</w:t>
      </w:r>
      <w:proofErr w:type="spellEnd"/>
      <w:r>
        <w:t xml:space="preserve">) and of </w:t>
      </w:r>
      <w:proofErr w:type="spellStart"/>
      <w:r>
        <w:t>BaA</w:t>
      </w:r>
      <w:proofErr w:type="spellEnd"/>
      <w:r>
        <w:t>/(</w:t>
      </w:r>
      <w:proofErr w:type="spellStart"/>
      <w:r>
        <w:t>BaA+Chr</w:t>
      </w:r>
      <w:proofErr w:type="spellEnd"/>
      <w:r>
        <w:t>).</w:t>
      </w:r>
    </w:p>
    <w:p w14:paraId="433D996C" w14:textId="3B052D80" w:rsidR="0086342A" w:rsidRPr="00B53F5A" w:rsidRDefault="0096558F" w:rsidP="003F3B37">
      <w:pPr>
        <w:pStyle w:val="Basetext1"/>
        <w:jc w:val="center"/>
        <w:rPr>
          <w:rFonts w:cs="Times New Roman"/>
        </w:rPr>
      </w:pPr>
      <w:r>
        <w:rPr>
          <w:rFonts w:cs="Times New Roman"/>
          <w:noProof/>
        </w:rPr>
        <w:lastRenderedPageBreak/>
        <w:drawing>
          <wp:inline distT="0" distB="0" distL="0" distR="0" wp14:anchorId="50AF52CD" wp14:editId="2C218C76">
            <wp:extent cx="2959608" cy="5469636"/>
            <wp:effectExtent l="0" t="0" r="0" b="0"/>
            <wp:docPr id="25254682" name="Grafik 2" descr="Ein Bild, das Text, Screenshot, Diagramm,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54682" name="Grafik 2" descr="Ein Bild, das Text, Screenshot, Diagramm, Reihe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59608" cy="5469636"/>
                    </a:xfrm>
                    <a:prstGeom prst="rect">
                      <a:avLst/>
                    </a:prstGeom>
                  </pic:spPr>
                </pic:pic>
              </a:graphicData>
            </a:graphic>
          </wp:inline>
        </w:drawing>
      </w:r>
    </w:p>
    <w:p w14:paraId="5A40191B" w14:textId="0BC3D890" w:rsidR="007F61AB" w:rsidRDefault="007F61AB" w:rsidP="007F61AB">
      <w:pPr>
        <w:pStyle w:val="Basetext1"/>
        <w:rPr>
          <w:rFonts w:cs="Times New Roman"/>
        </w:rPr>
      </w:pPr>
      <w:r>
        <w:rPr>
          <w:rFonts w:cs="Times New Roman"/>
        </w:rPr>
        <w:t>Figure S</w:t>
      </w:r>
      <w:r w:rsidR="00BF2269">
        <w:rPr>
          <w:rFonts w:cs="Times New Roman"/>
        </w:rPr>
        <w:t>5</w:t>
      </w:r>
      <w:r>
        <w:rPr>
          <w:rFonts w:cs="Times New Roman"/>
        </w:rPr>
        <w:t xml:space="preserve">. </w:t>
      </w:r>
      <w:r w:rsidR="003F3B37">
        <w:rPr>
          <w:rFonts w:cs="Times New Roman"/>
        </w:rPr>
        <w:t>Historical trend of perylene.</w:t>
      </w:r>
    </w:p>
    <w:p w14:paraId="6FA030EE" w14:textId="77777777" w:rsidR="004B1218" w:rsidRDefault="004B1218" w:rsidP="00552F8B">
      <w:pPr>
        <w:pStyle w:val="Basetext1"/>
        <w:rPr>
          <w:rFonts w:cs="Times New Roman"/>
        </w:rPr>
      </w:pPr>
    </w:p>
    <w:p w14:paraId="017FCB0D" w14:textId="3B5C262B" w:rsidR="00552F8B" w:rsidRPr="0096558F" w:rsidRDefault="00671BF8" w:rsidP="00BA6A1B">
      <w:pPr>
        <w:widowControl/>
        <w:spacing w:line="480" w:lineRule="auto"/>
        <w:jc w:val="left"/>
        <w:rPr>
          <w:rFonts w:ascii="Times New Roman" w:hAnsi="Times New Roman"/>
          <w:b/>
          <w:bCs/>
          <w:sz w:val="24"/>
          <w:lang w:val="en-GB"/>
        </w:rPr>
      </w:pPr>
      <w:r w:rsidRPr="0096558F">
        <w:rPr>
          <w:rFonts w:ascii="Times New Roman" w:hAnsi="Times New Roman"/>
          <w:b/>
          <w:bCs/>
          <w:sz w:val="24"/>
          <w:lang w:val="en-GB"/>
        </w:rPr>
        <w:t>References</w:t>
      </w:r>
    </w:p>
    <w:p w14:paraId="7E37AD5E" w14:textId="602510F6" w:rsidR="00E107CB" w:rsidRPr="0096558F" w:rsidRDefault="00D10620" w:rsidP="00E107CB">
      <w:pPr>
        <w:autoSpaceDE w:val="0"/>
        <w:autoSpaceDN w:val="0"/>
        <w:adjustRightInd w:val="0"/>
        <w:spacing w:line="480" w:lineRule="auto"/>
        <w:ind w:left="480" w:hanging="480"/>
        <w:rPr>
          <w:rFonts w:ascii="Times New Roman" w:hAnsi="Times New Roman" w:cs="Times New Roman"/>
          <w:noProof/>
          <w:sz w:val="24"/>
          <w:szCs w:val="24"/>
          <w:lang w:val="en-GB"/>
        </w:rPr>
      </w:pPr>
      <w:r>
        <w:rPr>
          <w:rFonts w:ascii="Times New Roman" w:hAnsi="Times New Roman"/>
          <w:sz w:val="24"/>
          <w:lang w:val="en-US"/>
        </w:rPr>
        <w:fldChar w:fldCharType="begin" w:fldLock="1"/>
      </w:r>
      <w:r w:rsidRPr="00E107CB">
        <w:rPr>
          <w:rFonts w:ascii="Times New Roman" w:hAnsi="Times New Roman"/>
          <w:sz w:val="24"/>
          <w:lang w:val="en-GB"/>
        </w:rPr>
        <w:instrText xml:space="preserve">ADDIN Mendeley Bibliography CSL_BIBLIOGRAPHY </w:instrText>
      </w:r>
      <w:r>
        <w:rPr>
          <w:rFonts w:ascii="Times New Roman" w:hAnsi="Times New Roman"/>
          <w:sz w:val="24"/>
          <w:lang w:val="en-US"/>
        </w:rPr>
        <w:fldChar w:fldCharType="separate"/>
      </w:r>
      <w:r w:rsidR="00E107CB" w:rsidRPr="00E107CB">
        <w:rPr>
          <w:rFonts w:ascii="Times New Roman" w:hAnsi="Times New Roman" w:cs="Times New Roman"/>
          <w:noProof/>
          <w:sz w:val="24"/>
          <w:szCs w:val="24"/>
          <w:lang w:val="en-GB"/>
        </w:rPr>
        <w:t xml:space="preserve">Kajiyama H and Ichihara M (1986) </w:t>
      </w:r>
      <w:r w:rsidR="00E107CB" w:rsidRPr="00E107CB">
        <w:rPr>
          <w:rFonts w:ascii="Times New Roman" w:hAnsi="Times New Roman" w:cs="Times New Roman"/>
          <w:i/>
          <w:iCs/>
          <w:noProof/>
          <w:sz w:val="24"/>
          <w:szCs w:val="24"/>
          <w:lang w:val="en-GB"/>
        </w:rPr>
        <w:t>Osaka Heiya No Oitachi (Life History of the Osaka Plain)</w:t>
      </w:r>
      <w:r w:rsidR="00E107CB" w:rsidRPr="00E107CB">
        <w:rPr>
          <w:rFonts w:ascii="Times New Roman" w:hAnsi="Times New Roman" w:cs="Times New Roman"/>
          <w:noProof/>
          <w:sz w:val="24"/>
          <w:szCs w:val="24"/>
          <w:lang w:val="en-GB"/>
        </w:rPr>
        <w:t xml:space="preserve">. </w:t>
      </w:r>
      <w:r w:rsidR="00E107CB" w:rsidRPr="0096558F">
        <w:rPr>
          <w:rFonts w:ascii="Times New Roman" w:hAnsi="Times New Roman" w:cs="Times New Roman"/>
          <w:noProof/>
          <w:sz w:val="24"/>
          <w:szCs w:val="24"/>
          <w:lang w:val="en-GB"/>
        </w:rPr>
        <w:t>Tokyo: Aoki Shoten (In Japanese).</w:t>
      </w:r>
    </w:p>
    <w:p w14:paraId="3902DBA5" w14:textId="77777777" w:rsidR="00E107CB" w:rsidRPr="0096558F" w:rsidRDefault="00E107CB" w:rsidP="00E107CB">
      <w:pPr>
        <w:autoSpaceDE w:val="0"/>
        <w:autoSpaceDN w:val="0"/>
        <w:adjustRightInd w:val="0"/>
        <w:spacing w:line="480" w:lineRule="auto"/>
        <w:ind w:left="480" w:hanging="480"/>
        <w:rPr>
          <w:rFonts w:ascii="Times New Roman" w:hAnsi="Times New Roman" w:cs="Times New Roman"/>
          <w:noProof/>
          <w:sz w:val="24"/>
          <w:szCs w:val="24"/>
          <w:lang w:val="en-GB"/>
        </w:rPr>
      </w:pPr>
      <w:r w:rsidRPr="0096558F">
        <w:rPr>
          <w:rFonts w:ascii="Times New Roman" w:hAnsi="Times New Roman" w:cs="Times New Roman"/>
          <w:noProof/>
          <w:sz w:val="24"/>
          <w:szCs w:val="24"/>
          <w:lang w:val="en-GB"/>
        </w:rPr>
        <w:t xml:space="preserve">Kajiyama H and Itihara M (1972) The developmental history of the Osaka Plain with references to the radio-carbon dates. </w:t>
      </w:r>
      <w:r w:rsidRPr="0096558F">
        <w:rPr>
          <w:rFonts w:ascii="Times New Roman" w:hAnsi="Times New Roman" w:cs="Times New Roman"/>
          <w:i/>
          <w:iCs/>
          <w:noProof/>
          <w:sz w:val="24"/>
          <w:szCs w:val="24"/>
          <w:lang w:val="en-GB"/>
        </w:rPr>
        <w:t>The Geological Society of Japan</w:t>
      </w:r>
      <w:r w:rsidRPr="0096558F">
        <w:rPr>
          <w:rFonts w:ascii="Times New Roman" w:hAnsi="Times New Roman" w:cs="Times New Roman"/>
          <w:noProof/>
          <w:sz w:val="24"/>
          <w:szCs w:val="24"/>
          <w:lang w:val="en-GB"/>
        </w:rPr>
        <w:t xml:space="preserve"> 7: 101–112.</w:t>
      </w:r>
    </w:p>
    <w:p w14:paraId="3DB12361" w14:textId="283B2B5C" w:rsidR="00E107CB" w:rsidRPr="00E107CB" w:rsidRDefault="00E107CB" w:rsidP="00E107CB">
      <w:pPr>
        <w:autoSpaceDE w:val="0"/>
        <w:autoSpaceDN w:val="0"/>
        <w:adjustRightInd w:val="0"/>
        <w:spacing w:line="480" w:lineRule="auto"/>
        <w:ind w:left="480" w:hanging="480"/>
        <w:rPr>
          <w:rFonts w:ascii="Times New Roman" w:hAnsi="Times New Roman" w:cs="Times New Roman"/>
          <w:noProof/>
          <w:sz w:val="24"/>
          <w:szCs w:val="24"/>
        </w:rPr>
      </w:pPr>
      <w:r w:rsidRPr="0096558F">
        <w:rPr>
          <w:rFonts w:ascii="Times New Roman" w:hAnsi="Times New Roman" w:cs="Times New Roman"/>
          <w:noProof/>
          <w:sz w:val="24"/>
          <w:szCs w:val="24"/>
          <w:lang w:val="en-GB"/>
        </w:rPr>
        <w:t xml:space="preserve">Kusaka M (2012) </w:t>
      </w:r>
      <w:r w:rsidRPr="0096558F">
        <w:rPr>
          <w:rFonts w:ascii="Times New Roman" w:hAnsi="Times New Roman" w:cs="Times New Roman"/>
          <w:i/>
          <w:iCs/>
          <w:noProof/>
          <w:sz w:val="24"/>
          <w:szCs w:val="24"/>
          <w:lang w:val="en-GB"/>
        </w:rPr>
        <w:t>History from the Topography</w:t>
      </w:r>
      <w:r w:rsidRPr="0096558F">
        <w:rPr>
          <w:rFonts w:ascii="Times New Roman" w:hAnsi="Times New Roman" w:cs="Times New Roman"/>
          <w:noProof/>
          <w:sz w:val="24"/>
          <w:szCs w:val="24"/>
          <w:lang w:val="en-GB"/>
        </w:rPr>
        <w:t xml:space="preserve">. </w:t>
      </w:r>
      <w:r w:rsidRPr="00E107CB">
        <w:rPr>
          <w:rFonts w:ascii="Times New Roman" w:hAnsi="Times New Roman" w:cs="Times New Roman"/>
          <w:noProof/>
          <w:sz w:val="24"/>
          <w:szCs w:val="24"/>
        </w:rPr>
        <w:t>Tokyo: Kodansha</w:t>
      </w:r>
      <w:r>
        <w:rPr>
          <w:rFonts w:ascii="Times New Roman" w:hAnsi="Times New Roman" w:cs="Times New Roman"/>
          <w:noProof/>
          <w:sz w:val="24"/>
          <w:szCs w:val="24"/>
        </w:rPr>
        <w:t xml:space="preserve"> (In Japanese)</w:t>
      </w:r>
      <w:r w:rsidRPr="00E107CB">
        <w:rPr>
          <w:rFonts w:ascii="Times New Roman" w:hAnsi="Times New Roman" w:cs="Times New Roman"/>
          <w:noProof/>
          <w:sz w:val="24"/>
          <w:szCs w:val="24"/>
        </w:rPr>
        <w:t>.</w:t>
      </w:r>
    </w:p>
    <w:p w14:paraId="4FA7234B" w14:textId="77777777" w:rsidR="00E107CB" w:rsidRPr="00E107CB" w:rsidRDefault="00E107CB" w:rsidP="00E107CB">
      <w:pPr>
        <w:autoSpaceDE w:val="0"/>
        <w:autoSpaceDN w:val="0"/>
        <w:adjustRightInd w:val="0"/>
        <w:spacing w:line="480" w:lineRule="auto"/>
        <w:ind w:left="480" w:hanging="480"/>
        <w:rPr>
          <w:rFonts w:ascii="Times New Roman" w:hAnsi="Times New Roman" w:cs="Times New Roman"/>
          <w:noProof/>
          <w:sz w:val="24"/>
        </w:rPr>
      </w:pPr>
      <w:r w:rsidRPr="00E107CB">
        <w:rPr>
          <w:rFonts w:ascii="Times New Roman" w:hAnsi="Times New Roman" w:cs="Times New Roman"/>
          <w:noProof/>
          <w:sz w:val="24"/>
          <w:szCs w:val="24"/>
        </w:rPr>
        <w:lastRenderedPageBreak/>
        <w:t xml:space="preserve">Nitzsche KN, Yoshimura T, Ishikawa NF, et al. </w:t>
      </w:r>
      <w:r w:rsidRPr="0096558F">
        <w:rPr>
          <w:rFonts w:ascii="Times New Roman" w:hAnsi="Times New Roman" w:cs="Times New Roman"/>
          <w:noProof/>
          <w:sz w:val="24"/>
          <w:szCs w:val="24"/>
          <w:lang w:val="en-GB"/>
        </w:rPr>
        <w:t xml:space="preserve">(2022) Metal contamination in a sediment core from Osaka Bay during the last 400 years. </w:t>
      </w:r>
      <w:r w:rsidRPr="00E107CB">
        <w:rPr>
          <w:rFonts w:ascii="Times New Roman" w:hAnsi="Times New Roman" w:cs="Times New Roman"/>
          <w:i/>
          <w:iCs/>
          <w:noProof/>
          <w:sz w:val="24"/>
          <w:szCs w:val="24"/>
        </w:rPr>
        <w:t>Progress in Earth and Planetary Science</w:t>
      </w:r>
      <w:r w:rsidRPr="00E107CB">
        <w:rPr>
          <w:rFonts w:ascii="Times New Roman" w:hAnsi="Times New Roman" w:cs="Times New Roman"/>
          <w:noProof/>
          <w:sz w:val="24"/>
          <w:szCs w:val="24"/>
        </w:rPr>
        <w:t xml:space="preserve"> 9: 58.</w:t>
      </w:r>
    </w:p>
    <w:p w14:paraId="675EDE42" w14:textId="6548572C" w:rsidR="00D10620" w:rsidRPr="00D10620" w:rsidRDefault="00D10620" w:rsidP="00BA6A1B">
      <w:pPr>
        <w:widowControl/>
        <w:spacing w:line="480" w:lineRule="auto"/>
        <w:jc w:val="left"/>
        <w:rPr>
          <w:rFonts w:ascii="Times New Roman" w:hAnsi="Times New Roman"/>
          <w:sz w:val="24"/>
          <w:lang w:val="en-US"/>
        </w:rPr>
      </w:pPr>
      <w:r>
        <w:rPr>
          <w:rFonts w:ascii="Times New Roman" w:hAnsi="Times New Roman"/>
          <w:sz w:val="24"/>
          <w:lang w:val="en-US"/>
        </w:rPr>
        <w:fldChar w:fldCharType="end"/>
      </w:r>
    </w:p>
    <w:sectPr w:rsidR="00D10620" w:rsidRPr="00D10620" w:rsidSect="00552F8B">
      <w:pgSz w:w="11906" w:h="16838"/>
      <w:pgMar w:top="1418" w:right="1418" w:bottom="1418" w:left="1418"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33D9FB" w14:textId="77777777" w:rsidR="00C62EBF" w:rsidRDefault="00C62EBF" w:rsidP="004F1C03">
      <w:pPr>
        <w:spacing w:after="0" w:line="240" w:lineRule="auto"/>
      </w:pPr>
      <w:r>
        <w:separator/>
      </w:r>
    </w:p>
  </w:endnote>
  <w:endnote w:type="continuationSeparator" w:id="0">
    <w:p w14:paraId="590E274E" w14:textId="77777777" w:rsidR="00C62EBF" w:rsidRDefault="00C62EBF" w:rsidP="004F1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5163272"/>
      <w:docPartObj>
        <w:docPartGallery w:val="Page Numbers (Bottom of Page)"/>
        <w:docPartUnique/>
      </w:docPartObj>
    </w:sdtPr>
    <w:sdtContent>
      <w:p w14:paraId="2378488E" w14:textId="61CE9CA3" w:rsidR="0098573F" w:rsidRDefault="0098573F">
        <w:pPr>
          <w:pStyle w:val="Fuzeile"/>
          <w:jc w:val="right"/>
        </w:pPr>
        <w:r>
          <w:fldChar w:fldCharType="begin"/>
        </w:r>
        <w:r>
          <w:instrText>PAGE   \* MERGEFORMAT</w:instrText>
        </w:r>
        <w:r>
          <w:fldChar w:fldCharType="separate"/>
        </w:r>
        <w:r>
          <w:t>2</w:t>
        </w:r>
        <w:r>
          <w:fldChar w:fldCharType="end"/>
        </w:r>
      </w:p>
    </w:sdtContent>
  </w:sdt>
  <w:p w14:paraId="1C920A50" w14:textId="77777777" w:rsidR="0098573F" w:rsidRDefault="0098573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424480" w14:textId="77777777" w:rsidR="00C62EBF" w:rsidRDefault="00C62EBF" w:rsidP="004F1C03">
      <w:pPr>
        <w:spacing w:after="0" w:line="240" w:lineRule="auto"/>
      </w:pPr>
      <w:r>
        <w:separator/>
      </w:r>
    </w:p>
  </w:footnote>
  <w:footnote w:type="continuationSeparator" w:id="0">
    <w:p w14:paraId="0CDD9627" w14:textId="77777777" w:rsidR="00C62EBF" w:rsidRDefault="00C62EBF" w:rsidP="004F1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703AB"/>
    <w:multiLevelType w:val="hybridMultilevel"/>
    <w:tmpl w:val="C0A63456"/>
    <w:lvl w:ilvl="0" w:tplc="25EEA296">
      <w:start w:val="3"/>
      <w:numFmt w:val="bullet"/>
      <w:lvlText w:val="-"/>
      <w:lvlJc w:val="left"/>
      <w:pPr>
        <w:ind w:left="720" w:hanging="360"/>
      </w:pPr>
      <w:rPr>
        <w:rFonts w:ascii="Times New Roman" w:eastAsiaTheme="majorEastAsia"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B6A1345"/>
    <w:multiLevelType w:val="hybridMultilevel"/>
    <w:tmpl w:val="777EAFC8"/>
    <w:lvl w:ilvl="0" w:tplc="23F26156">
      <w:start w:val="3"/>
      <w:numFmt w:val="bullet"/>
      <w:lvlText w:val="-"/>
      <w:lvlJc w:val="left"/>
      <w:pPr>
        <w:ind w:left="720" w:hanging="360"/>
      </w:pPr>
      <w:rPr>
        <w:rFonts w:ascii="Times New Roman" w:eastAsiaTheme="majorEastAsia"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4F20523"/>
    <w:multiLevelType w:val="hybridMultilevel"/>
    <w:tmpl w:val="AF0269B2"/>
    <w:lvl w:ilvl="0" w:tplc="8460D630">
      <w:start w:val="1"/>
      <w:numFmt w:val="bullet"/>
      <w:lvlText w:val=""/>
      <w:lvlJc w:val="left"/>
      <w:pPr>
        <w:ind w:left="720" w:hanging="360"/>
      </w:pPr>
      <w:rPr>
        <w:rFonts w:ascii="Wingdings" w:eastAsiaTheme="majorEastAsia"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8D93DB5"/>
    <w:multiLevelType w:val="hybridMultilevel"/>
    <w:tmpl w:val="7B7CDDC2"/>
    <w:lvl w:ilvl="0" w:tplc="560A0EBA">
      <w:numFmt w:val="bullet"/>
      <w:lvlText w:val="-"/>
      <w:lvlJc w:val="left"/>
      <w:pPr>
        <w:ind w:left="420" w:hanging="360"/>
      </w:pPr>
      <w:rPr>
        <w:rFonts w:ascii="Times New Roman" w:eastAsiaTheme="majorEastAsia" w:hAnsi="Times New Roman" w:cs="Times New Roman" w:hint="default"/>
      </w:rPr>
    </w:lvl>
    <w:lvl w:ilvl="1" w:tplc="04070003">
      <w:start w:val="1"/>
      <w:numFmt w:val="bullet"/>
      <w:lvlText w:val="o"/>
      <w:lvlJc w:val="left"/>
      <w:pPr>
        <w:ind w:left="1140" w:hanging="360"/>
      </w:pPr>
      <w:rPr>
        <w:rFonts w:ascii="Courier New" w:hAnsi="Courier New" w:cs="Courier New" w:hint="default"/>
      </w:rPr>
    </w:lvl>
    <w:lvl w:ilvl="2" w:tplc="04070005">
      <w:start w:val="1"/>
      <w:numFmt w:val="bullet"/>
      <w:lvlText w:val=""/>
      <w:lvlJc w:val="left"/>
      <w:pPr>
        <w:ind w:left="1860" w:hanging="360"/>
      </w:pPr>
      <w:rPr>
        <w:rFonts w:ascii="Wingdings" w:hAnsi="Wingdings" w:hint="default"/>
      </w:rPr>
    </w:lvl>
    <w:lvl w:ilvl="3" w:tplc="04070001">
      <w:start w:val="1"/>
      <w:numFmt w:val="bullet"/>
      <w:lvlText w:val=""/>
      <w:lvlJc w:val="left"/>
      <w:pPr>
        <w:ind w:left="2580" w:hanging="360"/>
      </w:pPr>
      <w:rPr>
        <w:rFonts w:ascii="Symbol" w:hAnsi="Symbol" w:hint="default"/>
      </w:rPr>
    </w:lvl>
    <w:lvl w:ilvl="4" w:tplc="04070003">
      <w:start w:val="1"/>
      <w:numFmt w:val="bullet"/>
      <w:lvlText w:val="o"/>
      <w:lvlJc w:val="left"/>
      <w:pPr>
        <w:ind w:left="3300" w:hanging="360"/>
      </w:pPr>
      <w:rPr>
        <w:rFonts w:ascii="Courier New" w:hAnsi="Courier New" w:cs="Courier New" w:hint="default"/>
      </w:rPr>
    </w:lvl>
    <w:lvl w:ilvl="5" w:tplc="04070005">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4" w15:restartNumberingAfterBreak="0">
    <w:nsid w:val="3BEC11AA"/>
    <w:multiLevelType w:val="hybridMultilevel"/>
    <w:tmpl w:val="EA86BEF4"/>
    <w:lvl w:ilvl="0" w:tplc="26945186">
      <w:start w:val="100"/>
      <w:numFmt w:val="bullet"/>
      <w:lvlText w:val=""/>
      <w:lvlJc w:val="left"/>
      <w:pPr>
        <w:ind w:left="720" w:hanging="360"/>
      </w:pPr>
      <w:rPr>
        <w:rFonts w:ascii="Wingdings" w:eastAsiaTheme="majorEastAsia"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D2D355A"/>
    <w:multiLevelType w:val="hybridMultilevel"/>
    <w:tmpl w:val="1174E5F6"/>
    <w:lvl w:ilvl="0" w:tplc="0C542DA8">
      <w:start w:val="4"/>
      <w:numFmt w:val="bullet"/>
      <w:lvlText w:val="-"/>
      <w:lvlJc w:val="left"/>
      <w:pPr>
        <w:ind w:left="720" w:hanging="360"/>
      </w:pPr>
      <w:rPr>
        <w:rFonts w:ascii="Times New Roman" w:eastAsiaTheme="majorEastAsia"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12618AF"/>
    <w:multiLevelType w:val="hybridMultilevel"/>
    <w:tmpl w:val="30464AE6"/>
    <w:lvl w:ilvl="0" w:tplc="B7782D9C">
      <w:numFmt w:val="bullet"/>
      <w:lvlText w:val="-"/>
      <w:lvlJc w:val="left"/>
      <w:pPr>
        <w:ind w:left="720" w:hanging="360"/>
      </w:pPr>
      <w:rPr>
        <w:rFonts w:ascii="Times New Roman" w:eastAsiaTheme="majorEastAsia"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67F37CD"/>
    <w:multiLevelType w:val="hybridMultilevel"/>
    <w:tmpl w:val="5A4CAE7C"/>
    <w:lvl w:ilvl="0" w:tplc="2A6CB59A">
      <w:start w:val="4"/>
      <w:numFmt w:val="bullet"/>
      <w:lvlText w:val="-"/>
      <w:lvlJc w:val="left"/>
      <w:pPr>
        <w:ind w:left="720" w:hanging="360"/>
      </w:pPr>
      <w:rPr>
        <w:rFonts w:ascii="Times New Roman" w:eastAsiaTheme="majorEastAsia"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B641F39"/>
    <w:multiLevelType w:val="hybridMultilevel"/>
    <w:tmpl w:val="F4E203EA"/>
    <w:lvl w:ilvl="0" w:tplc="6EB48E92">
      <w:numFmt w:val="bullet"/>
      <w:lvlText w:val=""/>
      <w:lvlJc w:val="left"/>
      <w:pPr>
        <w:ind w:left="780" w:hanging="360"/>
      </w:pPr>
      <w:rPr>
        <w:rFonts w:ascii="Wingdings" w:eastAsiaTheme="majorEastAsia" w:hAnsi="Wingdings" w:cs="Aria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9" w15:restartNumberingAfterBreak="0">
    <w:nsid w:val="6D9548A1"/>
    <w:multiLevelType w:val="hybridMultilevel"/>
    <w:tmpl w:val="4D16C9D8"/>
    <w:lvl w:ilvl="0" w:tplc="3D6E2EB6">
      <w:start w:val="4"/>
      <w:numFmt w:val="bullet"/>
      <w:lvlText w:val="-"/>
      <w:lvlJc w:val="left"/>
      <w:pPr>
        <w:ind w:left="720" w:hanging="360"/>
      </w:pPr>
      <w:rPr>
        <w:rFonts w:ascii="Times New Roman" w:eastAsiaTheme="majorEastAsia"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1977E35"/>
    <w:multiLevelType w:val="hybridMultilevel"/>
    <w:tmpl w:val="F2AEA4A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755934D1"/>
    <w:multiLevelType w:val="hybridMultilevel"/>
    <w:tmpl w:val="D702FD66"/>
    <w:lvl w:ilvl="0" w:tplc="6AF4AEA0">
      <w:numFmt w:val="bullet"/>
      <w:lvlText w:val="-"/>
      <w:lvlJc w:val="left"/>
      <w:pPr>
        <w:ind w:left="720" w:hanging="360"/>
      </w:pPr>
      <w:rPr>
        <w:rFonts w:ascii="Times New Roman" w:eastAsiaTheme="majorEastAsia"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7ED1951"/>
    <w:multiLevelType w:val="hybridMultilevel"/>
    <w:tmpl w:val="A880B71A"/>
    <w:lvl w:ilvl="0" w:tplc="EE16467E">
      <w:numFmt w:val="bullet"/>
      <w:lvlText w:val="-"/>
      <w:lvlJc w:val="left"/>
      <w:pPr>
        <w:ind w:left="720" w:hanging="360"/>
      </w:pPr>
      <w:rPr>
        <w:rFonts w:ascii="Times New Roman" w:eastAsiaTheme="majorEastAsia"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E706A57"/>
    <w:multiLevelType w:val="multilevel"/>
    <w:tmpl w:val="9634C8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96661822">
    <w:abstractNumId w:val="4"/>
  </w:num>
  <w:num w:numId="2" w16cid:durableId="852182759">
    <w:abstractNumId w:val="13"/>
  </w:num>
  <w:num w:numId="3" w16cid:durableId="197855799">
    <w:abstractNumId w:val="11"/>
  </w:num>
  <w:num w:numId="4" w16cid:durableId="560596811">
    <w:abstractNumId w:val="6"/>
  </w:num>
  <w:num w:numId="5" w16cid:durableId="2126079509">
    <w:abstractNumId w:val="7"/>
  </w:num>
  <w:num w:numId="6" w16cid:durableId="739055527">
    <w:abstractNumId w:val="5"/>
  </w:num>
  <w:num w:numId="7" w16cid:durableId="904681122">
    <w:abstractNumId w:val="9"/>
  </w:num>
  <w:num w:numId="8" w16cid:durableId="1521240566">
    <w:abstractNumId w:val="10"/>
  </w:num>
  <w:num w:numId="9" w16cid:durableId="371728215">
    <w:abstractNumId w:val="1"/>
  </w:num>
  <w:num w:numId="10" w16cid:durableId="590285352">
    <w:abstractNumId w:val="3"/>
  </w:num>
  <w:num w:numId="11" w16cid:durableId="1219174045">
    <w:abstractNumId w:val="8"/>
  </w:num>
  <w:num w:numId="12" w16cid:durableId="2028291736">
    <w:abstractNumId w:val="2"/>
  </w:num>
  <w:num w:numId="13" w16cid:durableId="105273402">
    <w:abstractNumId w:val="12"/>
  </w:num>
  <w:num w:numId="14" w16cid:durableId="6347251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3172"/>
    <w:rsid w:val="0004228E"/>
    <w:rsid w:val="00050F0E"/>
    <w:rsid w:val="000646BC"/>
    <w:rsid w:val="000A7D91"/>
    <w:rsid w:val="000D422D"/>
    <w:rsid w:val="00104B7B"/>
    <w:rsid w:val="00133612"/>
    <w:rsid w:val="0013798C"/>
    <w:rsid w:val="001C2A9D"/>
    <w:rsid w:val="001C5512"/>
    <w:rsid w:val="002153AD"/>
    <w:rsid w:val="00244A94"/>
    <w:rsid w:val="002957BE"/>
    <w:rsid w:val="002F2F0B"/>
    <w:rsid w:val="003224E1"/>
    <w:rsid w:val="003B03AA"/>
    <w:rsid w:val="003B30E2"/>
    <w:rsid w:val="003C4C6D"/>
    <w:rsid w:val="003E465D"/>
    <w:rsid w:val="003E66B8"/>
    <w:rsid w:val="003F3B37"/>
    <w:rsid w:val="00423F16"/>
    <w:rsid w:val="00442BF5"/>
    <w:rsid w:val="00455F90"/>
    <w:rsid w:val="004B1218"/>
    <w:rsid w:val="004B7D34"/>
    <w:rsid w:val="004E2433"/>
    <w:rsid w:val="004F1C03"/>
    <w:rsid w:val="00526019"/>
    <w:rsid w:val="00535DDA"/>
    <w:rsid w:val="00537CC3"/>
    <w:rsid w:val="00552F8B"/>
    <w:rsid w:val="00557424"/>
    <w:rsid w:val="00595790"/>
    <w:rsid w:val="005F67CF"/>
    <w:rsid w:val="0061071E"/>
    <w:rsid w:val="006531F8"/>
    <w:rsid w:val="00671BF8"/>
    <w:rsid w:val="006B78AE"/>
    <w:rsid w:val="006C535B"/>
    <w:rsid w:val="006D2A23"/>
    <w:rsid w:val="006D66C7"/>
    <w:rsid w:val="00760B68"/>
    <w:rsid w:val="00764F79"/>
    <w:rsid w:val="00782C19"/>
    <w:rsid w:val="0078528C"/>
    <w:rsid w:val="0079030A"/>
    <w:rsid w:val="00792220"/>
    <w:rsid w:val="0079656E"/>
    <w:rsid w:val="007B2F92"/>
    <w:rsid w:val="007B51EC"/>
    <w:rsid w:val="007C53F6"/>
    <w:rsid w:val="007F61AB"/>
    <w:rsid w:val="00840942"/>
    <w:rsid w:val="0086342A"/>
    <w:rsid w:val="00875912"/>
    <w:rsid w:val="008857CF"/>
    <w:rsid w:val="008A7BA3"/>
    <w:rsid w:val="008B07FD"/>
    <w:rsid w:val="008B28CC"/>
    <w:rsid w:val="008B4968"/>
    <w:rsid w:val="008E6390"/>
    <w:rsid w:val="008F628E"/>
    <w:rsid w:val="00903D41"/>
    <w:rsid w:val="00904010"/>
    <w:rsid w:val="009058E5"/>
    <w:rsid w:val="009260AC"/>
    <w:rsid w:val="00926E64"/>
    <w:rsid w:val="0096558F"/>
    <w:rsid w:val="0096672D"/>
    <w:rsid w:val="0097751C"/>
    <w:rsid w:val="0098573F"/>
    <w:rsid w:val="009B04F4"/>
    <w:rsid w:val="009B768F"/>
    <w:rsid w:val="009D3B4B"/>
    <w:rsid w:val="009E6A5A"/>
    <w:rsid w:val="00A0439D"/>
    <w:rsid w:val="00A11DFA"/>
    <w:rsid w:val="00A23F6D"/>
    <w:rsid w:val="00A76146"/>
    <w:rsid w:val="00A844B9"/>
    <w:rsid w:val="00AE1A93"/>
    <w:rsid w:val="00B05DD6"/>
    <w:rsid w:val="00B103EB"/>
    <w:rsid w:val="00B10717"/>
    <w:rsid w:val="00B42806"/>
    <w:rsid w:val="00B53F5A"/>
    <w:rsid w:val="00B57998"/>
    <w:rsid w:val="00B75A06"/>
    <w:rsid w:val="00BA6A1B"/>
    <w:rsid w:val="00BC5113"/>
    <w:rsid w:val="00BD33FB"/>
    <w:rsid w:val="00BD3DD1"/>
    <w:rsid w:val="00BF2269"/>
    <w:rsid w:val="00C073DA"/>
    <w:rsid w:val="00C200F4"/>
    <w:rsid w:val="00C422E5"/>
    <w:rsid w:val="00C4535A"/>
    <w:rsid w:val="00C5295B"/>
    <w:rsid w:val="00C62EBF"/>
    <w:rsid w:val="00C64E6B"/>
    <w:rsid w:val="00C73172"/>
    <w:rsid w:val="00C82039"/>
    <w:rsid w:val="00D074E6"/>
    <w:rsid w:val="00D10620"/>
    <w:rsid w:val="00D1243D"/>
    <w:rsid w:val="00D43423"/>
    <w:rsid w:val="00D508FF"/>
    <w:rsid w:val="00D53269"/>
    <w:rsid w:val="00D73463"/>
    <w:rsid w:val="00D802CA"/>
    <w:rsid w:val="00D8623D"/>
    <w:rsid w:val="00DA25CE"/>
    <w:rsid w:val="00DB03BE"/>
    <w:rsid w:val="00DC59BD"/>
    <w:rsid w:val="00E107CB"/>
    <w:rsid w:val="00E26EDF"/>
    <w:rsid w:val="00E27BD6"/>
    <w:rsid w:val="00E326B4"/>
    <w:rsid w:val="00E721DB"/>
    <w:rsid w:val="00E92E60"/>
    <w:rsid w:val="00EC7B74"/>
    <w:rsid w:val="00EE075E"/>
    <w:rsid w:val="00EF0923"/>
    <w:rsid w:val="00EF2F84"/>
    <w:rsid w:val="00F266DA"/>
    <w:rsid w:val="00F55565"/>
    <w:rsid w:val="00FB2DB5"/>
    <w:rsid w:val="00FC066B"/>
    <w:rsid w:val="00FC1D53"/>
    <w:rsid w:val="00FD0BB9"/>
    <w:rsid w:val="00FD3A00"/>
    <w:rsid w:val="00FD62F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BE3B0F"/>
  <w15:chartTrackingRefBased/>
  <w15:docId w15:val="{6D611B33-47E2-4796-AA04-72568C467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F1C03"/>
    <w:pPr>
      <w:widowControl w:val="0"/>
      <w:jc w:val="both"/>
    </w:pPr>
  </w:style>
  <w:style w:type="paragraph" w:styleId="berschrift1">
    <w:name w:val="heading 1"/>
    <w:basedOn w:val="Standard"/>
    <w:next w:val="Standard"/>
    <w:link w:val="berschrift1Zchn"/>
    <w:uiPriority w:val="9"/>
    <w:qFormat/>
    <w:rsid w:val="004F1C03"/>
    <w:pPr>
      <w:keepNext/>
      <w:keepLines/>
      <w:spacing w:after="0" w:line="480" w:lineRule="auto"/>
      <w:outlineLvl w:val="0"/>
    </w:pPr>
    <w:rPr>
      <w:rFonts w:ascii="Times New Roman" w:eastAsiaTheme="majorEastAsia" w:hAnsi="Times New Roman" w:cstheme="majorBidi"/>
      <w:b/>
      <w:sz w:val="24"/>
      <w:szCs w:val="32"/>
    </w:rPr>
  </w:style>
  <w:style w:type="paragraph" w:styleId="berschrift2">
    <w:name w:val="heading 2"/>
    <w:basedOn w:val="Standard"/>
    <w:next w:val="Standard"/>
    <w:link w:val="berschrift2Zchn"/>
    <w:uiPriority w:val="9"/>
    <w:unhideWhenUsed/>
    <w:qFormat/>
    <w:rsid w:val="004F1C03"/>
    <w:pPr>
      <w:keepNext/>
      <w:keepLines/>
      <w:spacing w:before="40" w:after="0" w:line="480" w:lineRule="auto"/>
      <w:jc w:val="left"/>
      <w:outlineLvl w:val="1"/>
    </w:pPr>
    <w:rPr>
      <w:rFonts w:ascii="Times New Roman" w:eastAsiaTheme="majorEastAsia" w:hAnsi="Times New Roman" w:cstheme="majorBidi"/>
      <w:i/>
      <w:sz w:val="24"/>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F1C03"/>
    <w:pPr>
      <w:tabs>
        <w:tab w:val="center" w:pos="4252"/>
        <w:tab w:val="right" w:pos="8504"/>
      </w:tabs>
      <w:spacing w:after="0" w:line="240" w:lineRule="auto"/>
    </w:pPr>
  </w:style>
  <w:style w:type="character" w:customStyle="1" w:styleId="KopfzeileZchn">
    <w:name w:val="Kopfzeile Zchn"/>
    <w:basedOn w:val="Absatz-Standardschriftart"/>
    <w:link w:val="Kopfzeile"/>
    <w:uiPriority w:val="99"/>
    <w:rsid w:val="004F1C03"/>
  </w:style>
  <w:style w:type="paragraph" w:styleId="Fuzeile">
    <w:name w:val="footer"/>
    <w:basedOn w:val="Standard"/>
    <w:link w:val="FuzeileZchn"/>
    <w:uiPriority w:val="99"/>
    <w:unhideWhenUsed/>
    <w:rsid w:val="004F1C03"/>
    <w:pPr>
      <w:tabs>
        <w:tab w:val="center" w:pos="4252"/>
        <w:tab w:val="right" w:pos="8504"/>
      </w:tabs>
      <w:spacing w:after="0" w:line="240" w:lineRule="auto"/>
    </w:pPr>
  </w:style>
  <w:style w:type="character" w:customStyle="1" w:styleId="FuzeileZchn">
    <w:name w:val="Fußzeile Zchn"/>
    <w:basedOn w:val="Absatz-Standardschriftart"/>
    <w:link w:val="Fuzeile"/>
    <w:uiPriority w:val="99"/>
    <w:rsid w:val="004F1C03"/>
  </w:style>
  <w:style w:type="character" w:customStyle="1" w:styleId="berschrift1Zchn">
    <w:name w:val="Überschrift 1 Zchn"/>
    <w:basedOn w:val="Absatz-Standardschriftart"/>
    <w:link w:val="berschrift1"/>
    <w:uiPriority w:val="9"/>
    <w:rsid w:val="004F1C03"/>
    <w:rPr>
      <w:rFonts w:ascii="Times New Roman" w:eastAsiaTheme="majorEastAsia" w:hAnsi="Times New Roman" w:cstheme="majorBidi"/>
      <w:b/>
      <w:sz w:val="24"/>
      <w:szCs w:val="32"/>
    </w:rPr>
  </w:style>
  <w:style w:type="character" w:customStyle="1" w:styleId="berschrift2Zchn">
    <w:name w:val="Überschrift 2 Zchn"/>
    <w:basedOn w:val="Absatz-Standardschriftart"/>
    <w:link w:val="berschrift2"/>
    <w:uiPriority w:val="9"/>
    <w:rsid w:val="004F1C03"/>
    <w:rPr>
      <w:rFonts w:ascii="Times New Roman" w:eastAsiaTheme="majorEastAsia" w:hAnsi="Times New Roman" w:cstheme="majorBidi"/>
      <w:i/>
      <w:sz w:val="24"/>
      <w:szCs w:val="26"/>
    </w:rPr>
  </w:style>
  <w:style w:type="paragraph" w:customStyle="1" w:styleId="BaseText">
    <w:name w:val="Base Text"/>
    <w:basedOn w:val="Standard"/>
    <w:link w:val="BaseText0"/>
    <w:qFormat/>
    <w:rsid w:val="004F1C03"/>
    <w:pPr>
      <w:widowControl/>
      <w:autoSpaceDE w:val="0"/>
      <w:autoSpaceDN w:val="0"/>
      <w:spacing w:after="0" w:line="480" w:lineRule="auto"/>
      <w:jc w:val="left"/>
    </w:pPr>
    <w:rPr>
      <w:rFonts w:ascii="Times New Roman" w:eastAsiaTheme="majorEastAsia" w:hAnsi="Times New Roman" w:cs="Arial"/>
      <w:sz w:val="24"/>
      <w:lang w:val="en-GB"/>
    </w:rPr>
  </w:style>
  <w:style w:type="paragraph" w:styleId="Sprechblasentext">
    <w:name w:val="Balloon Text"/>
    <w:basedOn w:val="Standard"/>
    <w:link w:val="SprechblasentextZchn"/>
    <w:uiPriority w:val="99"/>
    <w:semiHidden/>
    <w:unhideWhenUsed/>
    <w:rsid w:val="004F1C0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F1C03"/>
    <w:rPr>
      <w:rFonts w:ascii="Segoe UI" w:hAnsi="Segoe UI" w:cs="Segoe UI"/>
      <w:sz w:val="18"/>
      <w:szCs w:val="18"/>
    </w:rPr>
  </w:style>
  <w:style w:type="table" w:styleId="Tabellenraster">
    <w:name w:val="Table Grid"/>
    <w:basedOn w:val="NormaleTabelle"/>
    <w:uiPriority w:val="39"/>
    <w:rsid w:val="004F1C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unhideWhenUsed/>
    <w:rsid w:val="004F1C03"/>
    <w:pPr>
      <w:widowControl/>
      <w:spacing w:before="100" w:beforeAutospacing="1" w:after="100" w:afterAutospacing="1" w:line="240" w:lineRule="auto"/>
      <w:jc w:val="left"/>
    </w:pPr>
    <w:rPr>
      <w:rFonts w:ascii="Times New Roman" w:eastAsia="Times New Roman" w:hAnsi="Times New Roman" w:cs="Times New Roman"/>
      <w:sz w:val="24"/>
      <w:szCs w:val="24"/>
    </w:rPr>
  </w:style>
  <w:style w:type="character" w:styleId="Platzhaltertext">
    <w:name w:val="Placeholder Text"/>
    <w:basedOn w:val="Absatz-Standardschriftart"/>
    <w:uiPriority w:val="99"/>
    <w:semiHidden/>
    <w:rsid w:val="004F1C03"/>
    <w:rPr>
      <w:color w:val="808080"/>
    </w:rPr>
  </w:style>
  <w:style w:type="paragraph" w:customStyle="1" w:styleId="Default">
    <w:name w:val="Default"/>
    <w:rsid w:val="004F1C03"/>
    <w:pPr>
      <w:autoSpaceDE w:val="0"/>
      <w:autoSpaceDN w:val="0"/>
      <w:adjustRightInd w:val="0"/>
      <w:spacing w:after="0" w:line="240" w:lineRule="auto"/>
    </w:pPr>
    <w:rPr>
      <w:rFonts w:ascii="Times" w:eastAsia="Times" w:cs="Times"/>
      <w:color w:val="000000"/>
      <w:sz w:val="24"/>
      <w:szCs w:val="24"/>
    </w:rPr>
  </w:style>
  <w:style w:type="character" w:styleId="Kommentarzeichen">
    <w:name w:val="annotation reference"/>
    <w:basedOn w:val="Absatz-Standardschriftart"/>
    <w:uiPriority w:val="99"/>
    <w:semiHidden/>
    <w:unhideWhenUsed/>
    <w:rsid w:val="004F1C03"/>
    <w:rPr>
      <w:sz w:val="16"/>
      <w:szCs w:val="16"/>
    </w:rPr>
  </w:style>
  <w:style w:type="paragraph" w:styleId="Kommentartext">
    <w:name w:val="annotation text"/>
    <w:basedOn w:val="Standard"/>
    <w:link w:val="KommentartextZchn"/>
    <w:uiPriority w:val="99"/>
    <w:unhideWhenUsed/>
    <w:rsid w:val="004F1C03"/>
    <w:pPr>
      <w:spacing w:line="240" w:lineRule="auto"/>
    </w:pPr>
    <w:rPr>
      <w:sz w:val="20"/>
      <w:szCs w:val="20"/>
    </w:rPr>
  </w:style>
  <w:style w:type="character" w:customStyle="1" w:styleId="KommentartextZchn">
    <w:name w:val="Kommentartext Zchn"/>
    <w:basedOn w:val="Absatz-Standardschriftart"/>
    <w:link w:val="Kommentartext"/>
    <w:uiPriority w:val="99"/>
    <w:rsid w:val="004F1C03"/>
    <w:rPr>
      <w:sz w:val="20"/>
      <w:szCs w:val="20"/>
    </w:rPr>
  </w:style>
  <w:style w:type="paragraph" w:styleId="Kommentarthema">
    <w:name w:val="annotation subject"/>
    <w:basedOn w:val="Kommentartext"/>
    <w:next w:val="Kommentartext"/>
    <w:link w:val="KommentarthemaZchn"/>
    <w:uiPriority w:val="99"/>
    <w:semiHidden/>
    <w:unhideWhenUsed/>
    <w:rsid w:val="004F1C03"/>
    <w:rPr>
      <w:b/>
      <w:bCs/>
    </w:rPr>
  </w:style>
  <w:style w:type="character" w:customStyle="1" w:styleId="KommentarthemaZchn">
    <w:name w:val="Kommentarthema Zchn"/>
    <w:basedOn w:val="KommentartextZchn"/>
    <w:link w:val="Kommentarthema"/>
    <w:uiPriority w:val="99"/>
    <w:semiHidden/>
    <w:rsid w:val="004F1C03"/>
    <w:rPr>
      <w:b/>
      <w:bCs/>
      <w:sz w:val="20"/>
      <w:szCs w:val="20"/>
    </w:rPr>
  </w:style>
  <w:style w:type="character" w:styleId="Hyperlink">
    <w:name w:val="Hyperlink"/>
    <w:basedOn w:val="Absatz-Standardschriftart"/>
    <w:uiPriority w:val="99"/>
    <w:unhideWhenUsed/>
    <w:rsid w:val="004F1C03"/>
    <w:rPr>
      <w:color w:val="0563C1" w:themeColor="hyperlink"/>
      <w:u w:val="single"/>
    </w:rPr>
  </w:style>
  <w:style w:type="character" w:styleId="NichtaufgelsteErwhnung">
    <w:name w:val="Unresolved Mention"/>
    <w:basedOn w:val="Absatz-Standardschriftart"/>
    <w:uiPriority w:val="99"/>
    <w:semiHidden/>
    <w:unhideWhenUsed/>
    <w:rsid w:val="004F1C03"/>
    <w:rPr>
      <w:color w:val="605E5C"/>
      <w:shd w:val="clear" w:color="auto" w:fill="E1DFDD"/>
    </w:rPr>
  </w:style>
  <w:style w:type="character" w:styleId="Zeilennummer">
    <w:name w:val="line number"/>
    <w:basedOn w:val="Absatz-Standardschriftart"/>
    <w:uiPriority w:val="99"/>
    <w:semiHidden/>
    <w:unhideWhenUsed/>
    <w:rsid w:val="004F1C03"/>
  </w:style>
  <w:style w:type="character" w:customStyle="1" w:styleId="BaseText0">
    <w:name w:val="Base Text (文字)"/>
    <w:basedOn w:val="Absatz-Standardschriftart"/>
    <w:link w:val="BaseText"/>
    <w:rsid w:val="00A76146"/>
    <w:rPr>
      <w:rFonts w:ascii="Times New Roman" w:eastAsiaTheme="majorEastAsia" w:hAnsi="Times New Roman" w:cs="Arial"/>
      <w:sz w:val="24"/>
      <w:lang w:val="en-GB"/>
    </w:rPr>
  </w:style>
  <w:style w:type="character" w:customStyle="1" w:styleId="NichtaufgelsteErwhnung1">
    <w:name w:val="Nicht aufgelöste Erwähnung1"/>
    <w:basedOn w:val="Absatz-Standardschriftart"/>
    <w:uiPriority w:val="99"/>
    <w:semiHidden/>
    <w:unhideWhenUsed/>
    <w:rsid w:val="006C535B"/>
    <w:rPr>
      <w:color w:val="605E5C"/>
      <w:shd w:val="clear" w:color="auto" w:fill="E1DFDD"/>
    </w:rPr>
  </w:style>
  <w:style w:type="paragraph" w:styleId="Listenabsatz">
    <w:name w:val="List Paragraph"/>
    <w:basedOn w:val="Standard"/>
    <w:uiPriority w:val="34"/>
    <w:qFormat/>
    <w:rsid w:val="006C535B"/>
    <w:pPr>
      <w:ind w:left="720"/>
      <w:contextualSpacing/>
    </w:pPr>
  </w:style>
  <w:style w:type="character" w:styleId="Hervorhebung">
    <w:name w:val="Emphasis"/>
    <w:basedOn w:val="Absatz-Standardschriftart"/>
    <w:uiPriority w:val="20"/>
    <w:qFormat/>
    <w:rsid w:val="006C535B"/>
    <w:rPr>
      <w:i/>
      <w:iCs/>
    </w:rPr>
  </w:style>
  <w:style w:type="character" w:customStyle="1" w:styleId="anchor-text">
    <w:name w:val="anchor-text"/>
    <w:basedOn w:val="Absatz-Standardschriftart"/>
    <w:rsid w:val="006C535B"/>
  </w:style>
  <w:style w:type="character" w:styleId="BesuchterLink">
    <w:name w:val="FollowedHyperlink"/>
    <w:basedOn w:val="Absatz-Standardschriftart"/>
    <w:uiPriority w:val="99"/>
    <w:semiHidden/>
    <w:unhideWhenUsed/>
    <w:rsid w:val="006C535B"/>
    <w:rPr>
      <w:color w:val="954F72" w:themeColor="followedHyperlink"/>
      <w:u w:val="single"/>
    </w:rPr>
  </w:style>
  <w:style w:type="paragraph" w:styleId="berarbeitung">
    <w:name w:val="Revision"/>
    <w:hidden/>
    <w:uiPriority w:val="99"/>
    <w:semiHidden/>
    <w:rsid w:val="006C535B"/>
    <w:pPr>
      <w:spacing w:after="0" w:line="240" w:lineRule="auto"/>
    </w:pPr>
  </w:style>
  <w:style w:type="paragraph" w:customStyle="1" w:styleId="EndNoteBibliographyTitle">
    <w:name w:val="EndNote Bibliography Title"/>
    <w:basedOn w:val="Standard"/>
    <w:link w:val="EndNoteBibliographyTitle0"/>
    <w:rsid w:val="006C535B"/>
    <w:pPr>
      <w:spacing w:after="0"/>
      <w:jc w:val="center"/>
    </w:pPr>
    <w:rPr>
      <w:rFonts w:ascii="Times New Roman" w:eastAsiaTheme="majorEastAsia" w:hAnsi="Times New Roman" w:cs="Times New Roman"/>
      <w:noProof/>
      <w:sz w:val="24"/>
      <w:lang w:val="en-GB"/>
    </w:rPr>
  </w:style>
  <w:style w:type="character" w:customStyle="1" w:styleId="EndNoteBibliographyTitle0">
    <w:name w:val="EndNote Bibliography Title (文字)"/>
    <w:basedOn w:val="BaseText0"/>
    <w:link w:val="EndNoteBibliographyTitle"/>
    <w:rsid w:val="006C535B"/>
    <w:rPr>
      <w:rFonts w:ascii="Times New Roman" w:eastAsiaTheme="majorEastAsia" w:hAnsi="Times New Roman" w:cs="Times New Roman"/>
      <w:noProof/>
      <w:sz w:val="24"/>
      <w:lang w:val="en-GB"/>
    </w:rPr>
  </w:style>
  <w:style w:type="paragraph" w:customStyle="1" w:styleId="EndNoteBibliography">
    <w:name w:val="EndNote Bibliography"/>
    <w:basedOn w:val="Standard"/>
    <w:link w:val="EndNoteBibliography0"/>
    <w:rsid w:val="006C535B"/>
    <w:pPr>
      <w:spacing w:line="240" w:lineRule="auto"/>
      <w:jc w:val="left"/>
    </w:pPr>
    <w:rPr>
      <w:rFonts w:ascii="Times New Roman" w:eastAsiaTheme="majorEastAsia" w:hAnsi="Times New Roman" w:cs="Times New Roman"/>
      <w:noProof/>
      <w:sz w:val="24"/>
      <w:lang w:val="en-GB"/>
    </w:rPr>
  </w:style>
  <w:style w:type="character" w:customStyle="1" w:styleId="EndNoteBibliography0">
    <w:name w:val="EndNote Bibliography (文字)"/>
    <w:basedOn w:val="BaseText0"/>
    <w:link w:val="EndNoteBibliography"/>
    <w:rsid w:val="006C535B"/>
    <w:rPr>
      <w:rFonts w:ascii="Times New Roman" w:eastAsiaTheme="majorEastAsia" w:hAnsi="Times New Roman" w:cs="Times New Roman"/>
      <w:noProof/>
      <w:sz w:val="24"/>
      <w:lang w:val="en-GB"/>
    </w:rPr>
  </w:style>
  <w:style w:type="paragraph" w:styleId="Funotentext">
    <w:name w:val="footnote text"/>
    <w:basedOn w:val="Standard"/>
    <w:link w:val="FunotentextZchn"/>
    <w:uiPriority w:val="99"/>
    <w:semiHidden/>
    <w:unhideWhenUsed/>
    <w:rsid w:val="006C535B"/>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6C535B"/>
    <w:rPr>
      <w:sz w:val="20"/>
      <w:szCs w:val="20"/>
    </w:rPr>
  </w:style>
  <w:style w:type="character" w:styleId="Funotenzeichen">
    <w:name w:val="footnote reference"/>
    <w:basedOn w:val="Absatz-Standardschriftart"/>
    <w:uiPriority w:val="99"/>
    <w:semiHidden/>
    <w:unhideWhenUsed/>
    <w:rsid w:val="006C535B"/>
    <w:rPr>
      <w:vertAlign w:val="superscript"/>
    </w:rPr>
  </w:style>
  <w:style w:type="character" w:styleId="Endnotenzeichen">
    <w:name w:val="endnote reference"/>
    <w:basedOn w:val="Absatz-Standardschriftart"/>
    <w:uiPriority w:val="99"/>
    <w:semiHidden/>
    <w:unhideWhenUsed/>
    <w:rsid w:val="006C535B"/>
    <w:rPr>
      <w:vertAlign w:val="superscript"/>
    </w:rPr>
  </w:style>
  <w:style w:type="paragraph" w:customStyle="1" w:styleId="Basetext1">
    <w:name w:val="Base text"/>
    <w:basedOn w:val="Standard"/>
    <w:qFormat/>
    <w:rsid w:val="00FC066B"/>
    <w:pPr>
      <w:widowControl/>
      <w:spacing w:after="0" w:line="480" w:lineRule="auto"/>
      <w:jc w:val="left"/>
    </w:pPr>
    <w:rPr>
      <w:rFonts w:ascii="Times New Roman" w:hAnsi="Times New Roman"/>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425569">
      <w:bodyDiv w:val="1"/>
      <w:marLeft w:val="0"/>
      <w:marRight w:val="0"/>
      <w:marTop w:val="0"/>
      <w:marBottom w:val="0"/>
      <w:divBdr>
        <w:top w:val="none" w:sz="0" w:space="0" w:color="auto"/>
        <w:left w:val="none" w:sz="0" w:space="0" w:color="auto"/>
        <w:bottom w:val="none" w:sz="0" w:space="0" w:color="auto"/>
        <w:right w:val="none" w:sz="0" w:space="0" w:color="auto"/>
      </w:divBdr>
    </w:div>
    <w:div w:id="1776903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E6404D-C276-4E91-8B2B-8B3ACEF7B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1175</Words>
  <Characters>7409</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nitzsche</dc:creator>
  <cp:keywords/>
  <dc:description/>
  <cp:lastModifiedBy>Kai Nitzsche</cp:lastModifiedBy>
  <cp:revision>17</cp:revision>
  <dcterms:created xsi:type="dcterms:W3CDTF">2023-07-19T15:25:00Z</dcterms:created>
  <dcterms:modified xsi:type="dcterms:W3CDTF">2023-12-06T15:42:00Z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http://www.zotero.org/styles/biogeochemistry</vt:lpwstr>
  </property>
  <property fmtid="{D5CDD505-2E9C-101B-9397-08002B2CF9AE}" pid="7" name="Mendeley Recent Style Name 2_1">
    <vt:lpwstr>Biogeochemistry</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12th edition - Harvard</vt:lpwstr>
  </property>
  <property fmtid="{D5CDD505-2E9C-101B-9397-08002B2CF9AE}" pid="10" name="Mendeley Recent Style Id 4_1">
    <vt:lpwstr>http://www.zotero.org/styles/ecosphere</vt:lpwstr>
  </property>
  <property fmtid="{D5CDD505-2E9C-101B-9397-08002B2CF9AE}" pid="11" name="Mendeley Recent Style Name 4_1">
    <vt:lpwstr>Ecosphere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http://www.zotero.org/styles/quaternary-science-reviews</vt:lpwstr>
  </property>
  <property fmtid="{D5CDD505-2E9C-101B-9397-08002B2CF9AE}" pid="17" name="Mendeley Recent Style Name 7_1">
    <vt:lpwstr>Quaternary Science Reviews</vt:lpwstr>
  </property>
  <property fmtid="{D5CDD505-2E9C-101B-9397-08002B2CF9AE}" pid="18" name="Mendeley Recent Style Id 8_1">
    <vt:lpwstr>http://www.zotero.org/styles/sage-harvard</vt:lpwstr>
  </property>
  <property fmtid="{D5CDD505-2E9C-101B-9397-08002B2CF9AE}" pid="19" name="Mendeley Recent Style Name 8_1">
    <vt:lpwstr>SAGE - Harvard</vt:lpwstr>
  </property>
  <property fmtid="{D5CDD505-2E9C-101B-9397-08002B2CF9AE}" pid="20" name="Mendeley Recent Style Id 9_1">
    <vt:lpwstr>http://www.zotero.org/styles/the-holocene</vt:lpwstr>
  </property>
  <property fmtid="{D5CDD505-2E9C-101B-9397-08002B2CF9AE}" pid="21" name="Mendeley Recent Style Name 9_1">
    <vt:lpwstr>The Holocene</vt:lpwstr>
  </property>
  <property fmtid="{D5CDD505-2E9C-101B-9397-08002B2CF9AE}" pid="22" name="Mendeley Document_1">
    <vt:lpwstr>True</vt:lpwstr>
  </property>
  <property fmtid="{D5CDD505-2E9C-101B-9397-08002B2CF9AE}" pid="23" name="Mendeley Unique User Id_1">
    <vt:lpwstr>632b6f49-6a7b-3b2c-ba81-e3265eda0fe7</vt:lpwstr>
  </property>
  <property fmtid="{D5CDD505-2E9C-101B-9397-08002B2CF9AE}" pid="24" name="Mendeley Citation Style_1">
    <vt:lpwstr>http://www.zotero.org/styles/sage-harvard</vt:lpwstr>
  </property>
</Properties>
</file>