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1D793" w14:textId="76872EAA" w:rsidR="00C75F28" w:rsidRPr="00141F85" w:rsidRDefault="00C75F28" w:rsidP="00C75F28">
      <w:pPr>
        <w:rPr>
          <w:b/>
          <w:bCs/>
          <w:lang w:val="en-GB"/>
        </w:rPr>
      </w:pPr>
      <w:r w:rsidRPr="00141F85">
        <w:rPr>
          <w:b/>
          <w:bCs/>
          <w:lang w:val="en-GB"/>
        </w:rPr>
        <w:t>Supplementary Information (SI)</w:t>
      </w:r>
    </w:p>
    <w:p w14:paraId="6E02BC1D" w14:textId="5EE26B79" w:rsidR="00C75F28" w:rsidRPr="00CC08B9" w:rsidRDefault="00C75F28" w:rsidP="00C75F28">
      <w:pPr>
        <w:jc w:val="center"/>
        <w:rPr>
          <w:b/>
          <w:bCs/>
          <w:lang w:val="en-GB"/>
        </w:rPr>
      </w:pPr>
      <w:r w:rsidRPr="00CC08B9">
        <w:rPr>
          <w:b/>
          <w:bCs/>
          <w:lang w:val="en-GB"/>
        </w:rPr>
        <w:t>Dislocation-tuned electrical conductivity in solid electrolytes (9YSZ)</w:t>
      </w:r>
      <w:r w:rsidRPr="00CC08B9">
        <w:rPr>
          <w:b/>
          <w:bCs/>
        </w:rPr>
        <w:t>:</w:t>
      </w:r>
      <w:r w:rsidRPr="00CC08B9">
        <w:rPr>
          <w:b/>
          <w:bCs/>
          <w:lang w:val="en-GB"/>
        </w:rPr>
        <w:t xml:space="preserve"> A micro-mechanical approach</w:t>
      </w:r>
    </w:p>
    <w:p w14:paraId="79F78F14" w14:textId="77777777" w:rsidR="00C75F28" w:rsidRPr="00CC08B9" w:rsidRDefault="00C75F28" w:rsidP="00C75F28">
      <w:pPr>
        <w:ind w:right="-375"/>
        <w:jc w:val="center"/>
        <w:rPr>
          <w:sz w:val="20"/>
          <w:szCs w:val="20"/>
          <w:vertAlign w:val="superscript"/>
          <w:lang w:val="en-GB"/>
        </w:rPr>
      </w:pPr>
      <w:r w:rsidRPr="00CC08B9">
        <w:rPr>
          <w:sz w:val="20"/>
          <w:szCs w:val="20"/>
          <w:lang w:val="en-GB"/>
        </w:rPr>
        <w:t>Qaisar Khushi Muhammad,</w:t>
      </w:r>
      <w:proofErr w:type="gramStart"/>
      <w:r w:rsidRPr="00CC08B9">
        <w:rPr>
          <w:sz w:val="20"/>
          <w:szCs w:val="20"/>
          <w:vertAlign w:val="superscript"/>
          <w:lang w:val="en-GB"/>
        </w:rPr>
        <w:t>1,</w:t>
      </w:r>
      <w:r w:rsidRPr="00CC08B9">
        <w:rPr>
          <w:sz w:val="20"/>
          <w:szCs w:val="20"/>
          <w:lang w:val="en-GB"/>
        </w:rPr>
        <w:t>*</w:t>
      </w:r>
      <w:proofErr w:type="gramEnd"/>
      <w:r w:rsidRPr="00CC08B9">
        <w:rPr>
          <w:sz w:val="20"/>
          <w:szCs w:val="20"/>
          <w:lang w:val="en-GB"/>
        </w:rPr>
        <w:t xml:space="preserve"> Marcela Valderrama,</w:t>
      </w:r>
      <w:r w:rsidRPr="00CC08B9">
        <w:rPr>
          <w:sz w:val="20"/>
          <w:szCs w:val="20"/>
          <w:vertAlign w:val="superscript"/>
          <w:lang w:val="en-GB"/>
        </w:rPr>
        <w:t>1</w:t>
      </w:r>
      <w:r w:rsidRPr="00CC08B9">
        <w:rPr>
          <w:sz w:val="20"/>
          <w:szCs w:val="20"/>
          <w:lang w:val="en-GB"/>
        </w:rPr>
        <w:t xml:space="preserve"> </w:t>
      </w:r>
      <w:proofErr w:type="spellStart"/>
      <w:r w:rsidRPr="00CC08B9">
        <w:rPr>
          <w:sz w:val="20"/>
          <w:szCs w:val="20"/>
          <w:lang w:val="en-GB"/>
        </w:rPr>
        <w:t>Mengkun</w:t>
      </w:r>
      <w:proofErr w:type="spellEnd"/>
      <w:r w:rsidRPr="00CC08B9">
        <w:rPr>
          <w:sz w:val="20"/>
          <w:szCs w:val="20"/>
          <w:lang w:val="en-GB"/>
        </w:rPr>
        <w:t xml:space="preserve"> Yue,</w:t>
      </w:r>
      <w:r w:rsidRPr="00CC08B9">
        <w:rPr>
          <w:sz w:val="20"/>
          <w:szCs w:val="20"/>
          <w:vertAlign w:val="superscript"/>
          <w:lang w:val="en-GB"/>
        </w:rPr>
        <w:t>2,</w:t>
      </w:r>
      <w:r w:rsidRPr="00CC08B9">
        <w:rPr>
          <w:rFonts w:cstheme="minorHAnsi"/>
          <w:sz w:val="20"/>
          <w:szCs w:val="20"/>
          <w:vertAlign w:val="superscript"/>
          <w:lang w:val="en-GB"/>
        </w:rPr>
        <w:t>†</w:t>
      </w:r>
      <w:r w:rsidRPr="00CC08B9">
        <w:rPr>
          <w:sz w:val="20"/>
          <w:szCs w:val="20"/>
          <w:lang w:val="en-GB"/>
        </w:rPr>
        <w:t xml:space="preserve"> Alexander Karl Opitz,</w:t>
      </w:r>
      <w:r w:rsidRPr="00CC08B9">
        <w:rPr>
          <w:sz w:val="20"/>
          <w:szCs w:val="20"/>
          <w:vertAlign w:val="superscript"/>
          <w:lang w:val="en-GB"/>
        </w:rPr>
        <w:t>3</w:t>
      </w:r>
      <w:r w:rsidRPr="00CC08B9">
        <w:rPr>
          <w:sz w:val="20"/>
          <w:szCs w:val="20"/>
          <w:lang w:val="en-GB"/>
        </w:rPr>
        <w:t xml:space="preserve"> Stefanie Taibl,</w:t>
      </w:r>
      <w:r w:rsidRPr="00CC08B9">
        <w:rPr>
          <w:sz w:val="20"/>
          <w:szCs w:val="20"/>
          <w:vertAlign w:val="superscript"/>
          <w:lang w:val="en-GB"/>
        </w:rPr>
        <w:t>3</w:t>
      </w:r>
      <w:r w:rsidRPr="00CC08B9">
        <w:rPr>
          <w:sz w:val="20"/>
          <w:szCs w:val="20"/>
          <w:lang w:val="en-GB"/>
        </w:rPr>
        <w:t xml:space="preserve"> Matthäus Siebenhofer,</w:t>
      </w:r>
      <w:r w:rsidRPr="00CC08B9">
        <w:rPr>
          <w:sz w:val="20"/>
          <w:szCs w:val="20"/>
          <w:vertAlign w:val="superscript"/>
          <w:lang w:val="en-GB"/>
        </w:rPr>
        <w:t>3</w:t>
      </w:r>
      <w:r w:rsidRPr="00CC08B9">
        <w:rPr>
          <w:sz w:val="20"/>
          <w:szCs w:val="20"/>
          <w:lang w:val="en-GB"/>
        </w:rPr>
        <w:t xml:space="preserve"> Enrico Bruder,</w:t>
      </w:r>
      <w:r w:rsidRPr="00CC08B9">
        <w:rPr>
          <w:sz w:val="20"/>
          <w:szCs w:val="20"/>
          <w:vertAlign w:val="superscript"/>
          <w:lang w:val="en-GB"/>
        </w:rPr>
        <w:t>4</w:t>
      </w:r>
      <w:r w:rsidRPr="00CC08B9">
        <w:rPr>
          <w:sz w:val="20"/>
          <w:szCs w:val="20"/>
          <w:lang w:val="en-GB"/>
        </w:rPr>
        <w:t xml:space="preserve"> Jürgen Fleig,</w:t>
      </w:r>
      <w:r w:rsidRPr="00CC08B9">
        <w:rPr>
          <w:sz w:val="20"/>
          <w:szCs w:val="20"/>
          <w:vertAlign w:val="superscript"/>
          <w:lang w:val="en-GB"/>
        </w:rPr>
        <w:t>3</w:t>
      </w:r>
      <w:r w:rsidRPr="00CC08B9">
        <w:rPr>
          <w:sz w:val="20"/>
          <w:szCs w:val="20"/>
          <w:lang w:val="en-GB"/>
        </w:rPr>
        <w:t xml:space="preserve"> </w:t>
      </w:r>
      <w:proofErr w:type="spellStart"/>
      <w:r w:rsidRPr="00CC08B9">
        <w:rPr>
          <w:sz w:val="20"/>
          <w:szCs w:val="20"/>
          <w:lang w:val="en-GB"/>
        </w:rPr>
        <w:t>Xufei</w:t>
      </w:r>
      <w:proofErr w:type="spellEnd"/>
      <w:r w:rsidRPr="00CC08B9">
        <w:rPr>
          <w:sz w:val="20"/>
          <w:szCs w:val="20"/>
          <w:lang w:val="en-GB"/>
        </w:rPr>
        <w:t xml:space="preserve"> Fang,</w:t>
      </w:r>
      <w:r w:rsidRPr="00CC08B9">
        <w:rPr>
          <w:sz w:val="20"/>
          <w:szCs w:val="20"/>
          <w:vertAlign w:val="superscript"/>
          <w:lang w:val="en-GB"/>
        </w:rPr>
        <w:t>1</w:t>
      </w:r>
      <w:r w:rsidRPr="00CC08B9">
        <w:rPr>
          <w:sz w:val="20"/>
          <w:szCs w:val="20"/>
          <w:lang w:val="en-GB"/>
        </w:rPr>
        <w:t xml:space="preserve"> and Till Frömling</w:t>
      </w:r>
      <w:r w:rsidRPr="00CC08B9">
        <w:rPr>
          <w:sz w:val="20"/>
          <w:szCs w:val="20"/>
          <w:vertAlign w:val="superscript"/>
          <w:lang w:val="en-GB"/>
        </w:rPr>
        <w:t>1,*</w:t>
      </w:r>
    </w:p>
    <w:p w14:paraId="2938FDDC" w14:textId="77777777" w:rsidR="00C75F28" w:rsidRDefault="00C75F28" w:rsidP="00C75F28">
      <w:pPr>
        <w:jc w:val="center"/>
        <w:rPr>
          <w:sz w:val="16"/>
          <w:szCs w:val="16"/>
          <w:lang w:val="en-GB"/>
        </w:rPr>
      </w:pPr>
    </w:p>
    <w:p w14:paraId="0A6FA3B0" w14:textId="77777777" w:rsidR="00C75F28" w:rsidRPr="002A16C0" w:rsidRDefault="00C75F28" w:rsidP="00C75F28">
      <w:pPr>
        <w:jc w:val="both"/>
        <w:rPr>
          <w:b/>
          <w:bCs/>
          <w:i/>
          <w:iCs/>
          <w:sz w:val="18"/>
          <w:szCs w:val="18"/>
          <w:lang w:val="en-GB"/>
        </w:rPr>
      </w:pPr>
      <w:r w:rsidRPr="002A16C0">
        <w:rPr>
          <w:rFonts w:ascii="Calibri-Italic" w:hAnsi="Calibri-Italic"/>
          <w:i/>
          <w:iCs/>
          <w:color w:val="000000"/>
          <w:sz w:val="18"/>
          <w:szCs w:val="18"/>
          <w:vertAlign w:val="superscript"/>
        </w:rPr>
        <w:t>1</w:t>
      </w:r>
      <w:r w:rsidRPr="002A16C0">
        <w:rPr>
          <w:rFonts w:ascii="Calibri-Italic" w:hAnsi="Calibri-Italic"/>
          <w:i/>
          <w:iCs/>
          <w:color w:val="000000"/>
          <w:sz w:val="18"/>
          <w:szCs w:val="18"/>
        </w:rPr>
        <w:t>Division of Nonmetallic-Inorganic Materials, Department of Materials and Earth Sciences, Technical University of Darmstadt, Alarich-Weiss-Str. 2, Darmstadt 64287, Germany</w:t>
      </w:r>
    </w:p>
    <w:p w14:paraId="77E74457" w14:textId="77777777" w:rsidR="00C75F28" w:rsidRPr="002A16C0" w:rsidRDefault="00C75F28" w:rsidP="00C75F28">
      <w:pPr>
        <w:jc w:val="both"/>
        <w:rPr>
          <w:rFonts w:ascii="Calibri-Italic" w:hAnsi="Calibri-Italic" w:hint="eastAsia"/>
          <w:i/>
          <w:iCs/>
          <w:color w:val="000000"/>
          <w:sz w:val="18"/>
          <w:szCs w:val="18"/>
        </w:rPr>
      </w:pPr>
      <w:r w:rsidRPr="002A16C0">
        <w:rPr>
          <w:rFonts w:ascii="Calibri-Italic" w:hAnsi="Calibri-Italic"/>
          <w:i/>
          <w:iCs/>
          <w:color w:val="000000"/>
          <w:sz w:val="18"/>
          <w:szCs w:val="18"/>
          <w:vertAlign w:val="superscript"/>
        </w:rPr>
        <w:t>2</w:t>
      </w:r>
      <w:r w:rsidRPr="002A16C0">
        <w:rPr>
          <w:rFonts w:ascii="Calibri-Italic" w:hAnsi="Calibri-Italic"/>
          <w:i/>
          <w:iCs/>
          <w:color w:val="000000"/>
          <w:sz w:val="18"/>
          <w:szCs w:val="18"/>
        </w:rPr>
        <w:t>AML, Department of Engineering Mechanics, Tsinghua University, Beijing 100084, PR China</w:t>
      </w:r>
    </w:p>
    <w:p w14:paraId="7E35C0A7" w14:textId="77777777" w:rsidR="00C75F28" w:rsidRPr="002A16C0" w:rsidRDefault="00C75F28" w:rsidP="00C75F28">
      <w:pPr>
        <w:jc w:val="both"/>
        <w:rPr>
          <w:rFonts w:ascii="Calibri-Italic" w:hAnsi="Calibri-Italic" w:hint="eastAsia"/>
          <w:i/>
          <w:iCs/>
          <w:color w:val="000000"/>
          <w:sz w:val="18"/>
          <w:szCs w:val="18"/>
        </w:rPr>
      </w:pPr>
      <w:r w:rsidRPr="002A16C0">
        <w:rPr>
          <w:rFonts w:cstheme="minorHAnsi"/>
          <w:i/>
          <w:iCs/>
          <w:sz w:val="18"/>
          <w:szCs w:val="18"/>
          <w:vertAlign w:val="superscript"/>
          <w:lang w:val="en-GB"/>
        </w:rPr>
        <w:t>†</w:t>
      </w:r>
      <w:r w:rsidRPr="002A16C0">
        <w:rPr>
          <w:rFonts w:ascii="Calibri-Italic" w:hAnsi="Calibri-Italic"/>
          <w:i/>
          <w:iCs/>
          <w:color w:val="000000"/>
          <w:sz w:val="18"/>
          <w:szCs w:val="18"/>
        </w:rPr>
        <w:t>Center for Flexible Electronics Technology, Tsinghua University, Beijing 100084, PR China</w:t>
      </w:r>
    </w:p>
    <w:p w14:paraId="6F2CBB07" w14:textId="1249FE37" w:rsidR="00C75F28" w:rsidRPr="002A16C0" w:rsidRDefault="00C75F28" w:rsidP="00C75F28">
      <w:pPr>
        <w:jc w:val="both"/>
        <w:rPr>
          <w:b/>
          <w:bCs/>
          <w:i/>
          <w:iCs/>
          <w:sz w:val="18"/>
          <w:szCs w:val="18"/>
          <w:lang w:val="en-GB"/>
        </w:rPr>
      </w:pPr>
      <w:r w:rsidRPr="002A16C0">
        <w:rPr>
          <w:i/>
          <w:iCs/>
          <w:sz w:val="18"/>
          <w:szCs w:val="18"/>
          <w:vertAlign w:val="superscript"/>
          <w:lang w:val="en-GB"/>
        </w:rPr>
        <w:t>3</w:t>
      </w:r>
      <w:r w:rsidR="009C2B53" w:rsidRPr="009C2B53">
        <w:rPr>
          <w:rFonts w:ascii="Calibri-Italic" w:hAnsi="Calibri-Italic"/>
          <w:i/>
          <w:iCs/>
          <w:color w:val="000000"/>
          <w:sz w:val="18"/>
          <w:szCs w:val="18"/>
        </w:rPr>
        <w:t xml:space="preserve">Christian-Doppler-Laboratory for </w:t>
      </w:r>
      <w:proofErr w:type="spellStart"/>
      <w:r w:rsidR="009C2B53" w:rsidRPr="009C2B53">
        <w:rPr>
          <w:rFonts w:ascii="Calibri-Italic" w:hAnsi="Calibri-Italic"/>
          <w:i/>
          <w:iCs/>
          <w:color w:val="000000"/>
          <w:sz w:val="18"/>
          <w:szCs w:val="18"/>
        </w:rPr>
        <w:t>Ferroic</w:t>
      </w:r>
      <w:proofErr w:type="spellEnd"/>
      <w:r w:rsidR="009C2B53" w:rsidRPr="009C2B53">
        <w:rPr>
          <w:rFonts w:ascii="Calibri-Italic" w:hAnsi="Calibri-Italic"/>
          <w:i/>
          <w:iCs/>
          <w:color w:val="000000"/>
          <w:sz w:val="18"/>
          <w:szCs w:val="18"/>
        </w:rPr>
        <w:t xml:space="preserve"> Materials</w:t>
      </w:r>
      <w:r w:rsidR="009C2B53">
        <w:rPr>
          <w:rFonts w:ascii="Calibri-Italic" w:hAnsi="Calibri-Italic"/>
          <w:i/>
          <w:iCs/>
          <w:color w:val="000000"/>
          <w:sz w:val="18"/>
          <w:szCs w:val="18"/>
        </w:rPr>
        <w:t xml:space="preserve">, </w:t>
      </w:r>
      <w:r w:rsidRPr="002A16C0">
        <w:rPr>
          <w:rFonts w:ascii="Calibri-Italic" w:hAnsi="Calibri-Italic"/>
          <w:i/>
          <w:iCs/>
          <w:color w:val="000000"/>
          <w:sz w:val="18"/>
          <w:szCs w:val="18"/>
        </w:rPr>
        <w:t>Institute of Chemical Technologies and Analytics, Vienna University of Technology, Vienna A-1060, Austria</w:t>
      </w:r>
    </w:p>
    <w:p w14:paraId="220FFF32" w14:textId="77777777" w:rsidR="00C75F28" w:rsidRPr="002A16C0" w:rsidRDefault="00C75F28" w:rsidP="00C75F28">
      <w:pPr>
        <w:jc w:val="both"/>
        <w:rPr>
          <w:b/>
          <w:bCs/>
          <w:i/>
          <w:iCs/>
          <w:sz w:val="18"/>
          <w:szCs w:val="18"/>
          <w:lang w:val="en-GB"/>
        </w:rPr>
      </w:pPr>
      <w:r w:rsidRPr="002A16C0">
        <w:rPr>
          <w:rFonts w:ascii="Calibri-Italic" w:hAnsi="Calibri-Italic"/>
          <w:i/>
          <w:iCs/>
          <w:color w:val="000000"/>
          <w:sz w:val="18"/>
          <w:szCs w:val="18"/>
          <w:vertAlign w:val="superscript"/>
        </w:rPr>
        <w:t>4</w:t>
      </w:r>
      <w:r w:rsidRPr="002A16C0">
        <w:rPr>
          <w:rFonts w:ascii="Calibri-Italic" w:hAnsi="Calibri-Italic"/>
          <w:i/>
          <w:iCs/>
          <w:color w:val="000000"/>
          <w:sz w:val="18"/>
          <w:szCs w:val="18"/>
        </w:rPr>
        <w:t>Division of Physical Metallurgy, Department of Materials and Earth Sciences, Technical University of Darmstadt, Alarich-Weiss-Str. 2, Darmstadt 64287, Germany</w:t>
      </w:r>
    </w:p>
    <w:p w14:paraId="5ABDDA2F" w14:textId="77777777" w:rsidR="00C75F28" w:rsidRDefault="00C75F28" w:rsidP="00C75F28">
      <w:pPr>
        <w:rPr>
          <w:sz w:val="18"/>
          <w:szCs w:val="18"/>
          <w:lang w:val="en-GB"/>
        </w:rPr>
      </w:pPr>
    </w:p>
    <w:p w14:paraId="40681FAE" w14:textId="77777777" w:rsidR="00C75F28" w:rsidRDefault="00C75F28" w:rsidP="00C75F28">
      <w:pPr>
        <w:rPr>
          <w:sz w:val="18"/>
          <w:szCs w:val="18"/>
          <w:lang w:val="en-GB"/>
        </w:rPr>
      </w:pPr>
    </w:p>
    <w:p w14:paraId="7594318C" w14:textId="77777777" w:rsidR="00C75F28" w:rsidRDefault="00C75F28" w:rsidP="00C75F28">
      <w:pPr>
        <w:rPr>
          <w:sz w:val="18"/>
          <w:szCs w:val="18"/>
          <w:lang w:val="en-GB"/>
        </w:rPr>
      </w:pPr>
    </w:p>
    <w:p w14:paraId="513DB1CF" w14:textId="77777777" w:rsidR="00C75F28" w:rsidRDefault="00C75F28" w:rsidP="00C75F28">
      <w:pPr>
        <w:rPr>
          <w:rFonts w:ascii="Calibri-Italic" w:hAnsi="Calibri-Italic" w:hint="eastAsia"/>
          <w:i/>
          <w:iCs/>
          <w:color w:val="000000"/>
          <w:sz w:val="20"/>
          <w:szCs w:val="20"/>
        </w:rPr>
      </w:pPr>
      <w:r>
        <w:rPr>
          <w:rFonts w:ascii="Calibri-Italic" w:hAnsi="Calibri-Italic"/>
          <w:i/>
          <w:iCs/>
          <w:color w:val="000000"/>
          <w:sz w:val="20"/>
          <w:szCs w:val="20"/>
        </w:rPr>
        <w:t>*Corresponding authors</w:t>
      </w:r>
    </w:p>
    <w:p w14:paraId="46DB260B" w14:textId="77777777" w:rsidR="00C75F28" w:rsidRDefault="00000000" w:rsidP="00C75F28">
      <w:pPr>
        <w:rPr>
          <w:sz w:val="20"/>
          <w:szCs w:val="20"/>
          <w:lang w:val="en-GB"/>
        </w:rPr>
      </w:pPr>
      <w:hyperlink r:id="rId6" w:history="1">
        <w:r w:rsidR="00C75F28">
          <w:rPr>
            <w:rStyle w:val="Hyperlink"/>
            <w:sz w:val="20"/>
            <w:szCs w:val="20"/>
            <w:lang w:val="en-GB"/>
          </w:rPr>
          <w:t>muhammad@ceramics.tu-darmstadt.de</w:t>
        </w:r>
      </w:hyperlink>
    </w:p>
    <w:p w14:paraId="604F57A6" w14:textId="77777777" w:rsidR="00C75F28" w:rsidRDefault="00000000" w:rsidP="00C75F28">
      <w:pPr>
        <w:rPr>
          <w:sz w:val="20"/>
          <w:szCs w:val="20"/>
          <w:lang w:val="en-GB"/>
        </w:rPr>
      </w:pPr>
      <w:hyperlink r:id="rId7" w:history="1">
        <w:r w:rsidR="00C75F28">
          <w:rPr>
            <w:rStyle w:val="Hyperlink"/>
            <w:sz w:val="20"/>
            <w:szCs w:val="20"/>
            <w:lang w:val="en-GB"/>
          </w:rPr>
          <w:t>Froemling@ceramics.tu-darmstadt.de</w:t>
        </w:r>
      </w:hyperlink>
    </w:p>
    <w:p w14:paraId="61A4963C" w14:textId="77777777" w:rsidR="00C75F28" w:rsidRDefault="00C75F28" w:rsidP="00840708">
      <w:pPr>
        <w:rPr>
          <w:b/>
          <w:bCs/>
          <w:lang w:val="en-GB"/>
        </w:rPr>
      </w:pPr>
    </w:p>
    <w:p w14:paraId="491B272F" w14:textId="77777777" w:rsidR="00C75F28" w:rsidRDefault="00C75F28" w:rsidP="00840708">
      <w:pPr>
        <w:rPr>
          <w:b/>
          <w:bCs/>
          <w:lang w:val="en-GB"/>
        </w:rPr>
      </w:pPr>
    </w:p>
    <w:p w14:paraId="559270EB" w14:textId="77777777" w:rsidR="00C75F28" w:rsidRDefault="00C75F28" w:rsidP="00840708">
      <w:pPr>
        <w:rPr>
          <w:b/>
          <w:bCs/>
          <w:lang w:val="en-GB"/>
        </w:rPr>
      </w:pPr>
    </w:p>
    <w:p w14:paraId="59B144FA" w14:textId="77777777" w:rsidR="00840708" w:rsidRDefault="00840708" w:rsidP="00840708">
      <w:pPr>
        <w:jc w:val="center"/>
        <w:rPr>
          <w:b/>
          <w:bCs/>
          <w:lang w:val="en-GB"/>
        </w:rPr>
      </w:pPr>
      <w:r>
        <w:rPr>
          <w:noProof/>
        </w:rPr>
        <w:drawing>
          <wp:inline distT="0" distB="0" distL="0" distR="0" wp14:anchorId="24E3F633" wp14:editId="5868CC41">
            <wp:extent cx="5972810" cy="1464945"/>
            <wp:effectExtent l="0" t="0" r="889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08B6" w14:textId="77777777" w:rsidR="00840708" w:rsidRPr="008B74D4" w:rsidRDefault="00840708" w:rsidP="00840708">
      <w:pPr>
        <w:jc w:val="both"/>
        <w:rPr>
          <w:rFonts w:cstheme="minorHAnsi"/>
          <w:sz w:val="18"/>
          <w:szCs w:val="18"/>
          <w:lang w:val="en-GB"/>
        </w:rPr>
      </w:pPr>
      <w:r w:rsidRPr="008B74D4">
        <w:rPr>
          <w:rFonts w:cstheme="minorHAnsi"/>
          <w:b/>
          <w:bCs/>
          <w:sz w:val="18"/>
          <w:szCs w:val="18"/>
          <w:lang w:val="en-GB"/>
        </w:rPr>
        <w:t>Figure S1</w:t>
      </w:r>
      <w:r w:rsidRPr="008B74D4">
        <w:rPr>
          <w:rFonts w:cstheme="minorHAnsi"/>
          <w:sz w:val="18"/>
          <w:szCs w:val="18"/>
          <w:lang w:val="en-GB"/>
        </w:rPr>
        <w:t xml:space="preserve">: Laue back-reflection patterns of final sample orientations. The incident direction of X-rays was always perpendicular to the plane of the specimen (symbol </w:t>
      </w:r>
      <w:r w:rsidRPr="008B74D4">
        <w:rPr>
          <w:rFonts w:ascii="Cambria Math" w:hAnsi="Cambria Math" w:cs="Cambria Math"/>
          <w:sz w:val="18"/>
          <w:szCs w:val="18"/>
          <w:lang w:val="en-GB"/>
        </w:rPr>
        <w:t>⊗</w:t>
      </w:r>
      <w:r w:rsidRPr="008B74D4">
        <w:rPr>
          <w:rFonts w:cstheme="minorHAnsi"/>
          <w:sz w:val="18"/>
          <w:szCs w:val="18"/>
          <w:lang w:val="en-GB"/>
        </w:rPr>
        <w:t>). Indentation experiments were performed on YSZ (111) planes.</w:t>
      </w:r>
    </w:p>
    <w:p w14:paraId="7C4AD214" w14:textId="0132E8D0" w:rsidR="00840708" w:rsidRDefault="00840708" w:rsidP="00840708">
      <w:pPr>
        <w:rPr>
          <w:lang w:val="en-GB"/>
        </w:rPr>
      </w:pPr>
    </w:p>
    <w:p w14:paraId="191A3008" w14:textId="1CB16CCA" w:rsidR="009021D4" w:rsidRDefault="009021D4" w:rsidP="00840708">
      <w:pPr>
        <w:rPr>
          <w:lang w:val="en-GB"/>
        </w:rPr>
      </w:pPr>
    </w:p>
    <w:p w14:paraId="5DA7441B" w14:textId="77777777" w:rsidR="009021D4" w:rsidRDefault="009021D4" w:rsidP="00840708">
      <w:pPr>
        <w:rPr>
          <w:lang w:val="en-GB"/>
        </w:rPr>
      </w:pPr>
    </w:p>
    <w:p w14:paraId="5D6A50A9" w14:textId="77777777" w:rsidR="00840708" w:rsidRDefault="00840708" w:rsidP="00840708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770CFA0" wp14:editId="4DDA0A2F">
            <wp:extent cx="5972810" cy="25019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55177" w14:textId="7F3B7674" w:rsidR="00840708" w:rsidRPr="00A46CF7" w:rsidRDefault="00840708" w:rsidP="00840708">
      <w:pPr>
        <w:jc w:val="both"/>
        <w:rPr>
          <w:rFonts w:cstheme="minorHAnsi"/>
          <w:lang w:val="en-GB"/>
        </w:rPr>
      </w:pPr>
      <w:r w:rsidRPr="00D22C77">
        <w:rPr>
          <w:rFonts w:cstheme="minorHAnsi"/>
          <w:b/>
          <w:bCs/>
          <w:sz w:val="18"/>
          <w:szCs w:val="18"/>
          <w:lang w:val="en-GB"/>
        </w:rPr>
        <w:t>Figure S</w:t>
      </w:r>
      <w:r>
        <w:rPr>
          <w:rFonts w:cstheme="minorHAnsi"/>
          <w:b/>
          <w:bCs/>
          <w:sz w:val="18"/>
          <w:szCs w:val="18"/>
          <w:lang w:val="en-GB"/>
        </w:rPr>
        <w:t>2</w:t>
      </w:r>
      <w:r w:rsidRPr="00D22C77">
        <w:rPr>
          <w:rFonts w:cstheme="minorHAnsi"/>
          <w:b/>
          <w:bCs/>
          <w:sz w:val="18"/>
          <w:szCs w:val="18"/>
          <w:lang w:val="en-GB"/>
        </w:rPr>
        <w:t>:</w:t>
      </w:r>
      <w:r w:rsidRPr="00A46CF7">
        <w:rPr>
          <w:rFonts w:cstheme="minorHAnsi"/>
          <w:sz w:val="18"/>
          <w:szCs w:val="18"/>
          <w:lang w:val="en-GB"/>
        </w:rPr>
        <w:t xml:space="preserve"> </w:t>
      </w:r>
      <w:r>
        <w:rPr>
          <w:rFonts w:cstheme="minorHAnsi"/>
          <w:sz w:val="18"/>
          <w:szCs w:val="18"/>
          <w:lang w:val="en-GB"/>
        </w:rPr>
        <w:t xml:space="preserve">(a) </w:t>
      </w:r>
      <w:r w:rsidRPr="00A46CF7">
        <w:rPr>
          <w:rFonts w:cstheme="minorHAnsi"/>
          <w:sz w:val="18"/>
          <w:szCs w:val="18"/>
          <w:lang w:val="en-GB"/>
        </w:rPr>
        <w:t xml:space="preserve">FESEM image of </w:t>
      </w:r>
      <w:r>
        <w:rPr>
          <w:rFonts w:cstheme="minorHAnsi"/>
          <w:sz w:val="18"/>
          <w:szCs w:val="18"/>
          <w:lang w:val="en-GB"/>
        </w:rPr>
        <w:t>0.1 N</w:t>
      </w:r>
      <w:r w:rsidRPr="00A46CF7">
        <w:rPr>
          <w:rFonts w:cstheme="minorHAnsi"/>
          <w:sz w:val="18"/>
          <w:szCs w:val="18"/>
          <w:lang w:val="en-GB"/>
        </w:rPr>
        <w:t xml:space="preserve"> Vickers indents marked on (111) plane of 9YSZ</w:t>
      </w:r>
      <w:r>
        <w:rPr>
          <w:rFonts w:cstheme="minorHAnsi"/>
          <w:sz w:val="18"/>
          <w:szCs w:val="18"/>
          <w:lang w:val="en-GB"/>
        </w:rPr>
        <w:t xml:space="preserve">, here with a </w:t>
      </w:r>
      <w:proofErr w:type="spellStart"/>
      <w:r>
        <w:rPr>
          <w:rFonts w:cstheme="minorHAnsi"/>
          <w:sz w:val="18"/>
          <w:szCs w:val="18"/>
          <w:lang w:val="en-GB"/>
        </w:rPr>
        <w:t>center</w:t>
      </w:r>
      <w:proofErr w:type="spellEnd"/>
      <w:r>
        <w:rPr>
          <w:rFonts w:cstheme="minorHAnsi"/>
          <w:sz w:val="18"/>
          <w:szCs w:val="18"/>
          <w:lang w:val="en-GB"/>
        </w:rPr>
        <w:t>-to-</w:t>
      </w:r>
      <w:proofErr w:type="spellStart"/>
      <w:r>
        <w:rPr>
          <w:rFonts w:cstheme="minorHAnsi"/>
          <w:sz w:val="18"/>
          <w:szCs w:val="18"/>
          <w:lang w:val="en-GB"/>
        </w:rPr>
        <w:t>center</w:t>
      </w:r>
      <w:proofErr w:type="spellEnd"/>
      <w:r>
        <w:rPr>
          <w:rFonts w:cstheme="minorHAnsi"/>
          <w:sz w:val="18"/>
          <w:szCs w:val="18"/>
          <w:lang w:val="en-GB"/>
        </w:rPr>
        <w:t xml:space="preserve"> spacing of 10 µm </w:t>
      </w:r>
      <w:r w:rsidRPr="00747371">
        <w:rPr>
          <w:rFonts w:cstheme="minorHAnsi"/>
          <w:sz w:val="18"/>
          <w:szCs w:val="18"/>
          <w:lang w:val="en-GB"/>
        </w:rPr>
        <w:t>(also for the inset). Both lateral and radial cracking and three-fold symmetry in [11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sz w:val="18"/>
                <w:szCs w:val="18"/>
                <w:lang w:val="en-GB"/>
              </w:rPr>
            </m:ctrlPr>
          </m:accPr>
          <m:e>
            <m:r>
              <w:rPr>
                <w:rFonts w:ascii="Cambria Math" w:hAnsi="Cambria Math" w:cstheme="minorHAnsi"/>
                <w:sz w:val="18"/>
                <w:szCs w:val="18"/>
                <w:lang w:val="en-GB"/>
              </w:rPr>
              <m:t>2</m:t>
            </m:r>
          </m:e>
        </m:acc>
      </m:oMath>
      <w:r w:rsidRPr="00747371">
        <w:rPr>
          <w:rFonts w:cstheme="minorHAnsi"/>
          <w:sz w:val="18"/>
          <w:szCs w:val="18"/>
          <w:lang w:val="en-GB"/>
        </w:rPr>
        <w:t xml:space="preserve">] direction was observed when indented at room temperature. (b) </w:t>
      </w:r>
      <w:r w:rsidRPr="00747371">
        <w:rPr>
          <w:sz w:val="18"/>
          <w:szCs w:val="18"/>
          <w:lang w:val="en-GB"/>
        </w:rPr>
        <w:t>Cross-sectional</w:t>
      </w:r>
      <w:r w:rsidRPr="00747371">
        <w:rPr>
          <w:b/>
          <w:bCs/>
          <w:sz w:val="18"/>
          <w:szCs w:val="18"/>
          <w:lang w:val="en-GB"/>
        </w:rPr>
        <w:t xml:space="preserve"> </w:t>
      </w:r>
      <w:r w:rsidRPr="00747371">
        <w:rPr>
          <w:sz w:val="18"/>
          <w:szCs w:val="18"/>
          <w:lang w:val="en-GB"/>
        </w:rPr>
        <w:t>schematic</w:t>
      </w:r>
      <w:r w:rsidRPr="00D40A5C">
        <w:rPr>
          <w:sz w:val="18"/>
          <w:szCs w:val="18"/>
          <w:lang w:val="en-GB"/>
        </w:rPr>
        <w:t>/</w:t>
      </w:r>
      <w:r w:rsidRPr="00064AFA">
        <w:rPr>
          <w:sz w:val="18"/>
          <w:szCs w:val="18"/>
          <w:lang w:val="en-GB"/>
        </w:rPr>
        <w:t>{</w:t>
      </w:r>
      <w:r>
        <w:rPr>
          <w:sz w:val="18"/>
          <w:szCs w:val="18"/>
          <w:lang w:val="en-GB"/>
        </w:rPr>
        <w:t xml:space="preserve">100} </w:t>
      </w:r>
      <w:r w:rsidRPr="00055D8E">
        <w:rPr>
          <w:sz w:val="18"/>
          <w:szCs w:val="18"/>
          <w:lang w:val="en-GB"/>
        </w:rPr>
        <w:t>view</w:t>
      </w:r>
      <w:r>
        <w:rPr>
          <w:b/>
          <w:bCs/>
          <w:sz w:val="18"/>
          <w:szCs w:val="18"/>
          <w:lang w:val="en-GB"/>
        </w:rPr>
        <w:t xml:space="preserve">, </w:t>
      </w:r>
      <w:r w:rsidRPr="00747371">
        <w:rPr>
          <w:sz w:val="18"/>
          <w:szCs w:val="18"/>
          <w:lang w:val="en-GB"/>
        </w:rPr>
        <w:t xml:space="preserve">representing the slip traces </w:t>
      </w:r>
      <w:r>
        <w:rPr>
          <w:sz w:val="18"/>
          <w:szCs w:val="18"/>
          <w:lang w:val="en-GB"/>
        </w:rPr>
        <w:t xml:space="preserve">inside the </w:t>
      </w:r>
      <w:r w:rsidRPr="00747371">
        <w:rPr>
          <w:sz w:val="18"/>
          <w:szCs w:val="18"/>
          <w:lang w:val="en-GB"/>
        </w:rPr>
        <w:t xml:space="preserve">YSZ </w:t>
      </w:r>
      <w:r>
        <w:rPr>
          <w:sz w:val="18"/>
          <w:szCs w:val="18"/>
          <w:lang w:val="en-GB"/>
        </w:rPr>
        <w:t xml:space="preserve">specimen </w:t>
      </w:r>
      <w:r w:rsidRPr="00747371">
        <w:rPr>
          <w:sz w:val="18"/>
          <w:szCs w:val="18"/>
          <w:lang w:val="en-GB"/>
        </w:rPr>
        <w:t>when indented at (111) planes</w:t>
      </w:r>
      <w:r>
        <w:rPr>
          <w:sz w:val="18"/>
          <w:szCs w:val="18"/>
          <w:lang w:val="en-GB"/>
        </w:rPr>
        <w:t>.</w:t>
      </w:r>
      <w:r>
        <w:rPr>
          <w:sz w:val="18"/>
          <w:szCs w:val="18"/>
          <w:lang w:val="en-GB"/>
        </w:rPr>
        <w:fldChar w:fldCharType="begin"/>
      </w:r>
      <w:r>
        <w:rPr>
          <w:sz w:val="18"/>
          <w:szCs w:val="18"/>
          <w:lang w:val="en-GB"/>
        </w:rPr>
        <w:instrText xml:space="preserve"> ADDIN EN.CITE &lt;EndNote&gt;&lt;Cite&gt;&lt;Author&gt;Morscher&lt;/Author&gt;&lt;Year&gt;1991&lt;/Year&gt;&lt;RecNum&gt;50&lt;/RecNum&gt;&lt;DisplayText&gt;&lt;style face="superscript"&gt;1&lt;/style&gt;&lt;/DisplayText&gt;&lt;record&gt;&lt;rec-number&gt;50&lt;/rec-number&gt;&lt;foreign-keys&gt;&lt;key app="EN" db-id="fd5zftpas0s9toefatope0rbfs2s5svfrs95" timestamp="1565341849"&gt;50&lt;/key&gt;&lt;/foreign-keys&gt;&lt;ref-type name="Journal Article"&gt;17&lt;/ref-type&gt;&lt;contributors&gt;&lt;authors&gt;&lt;author&gt;Morscher, Gregory N&lt;/author&gt;&lt;author&gt;Pirouz, Pirouz&lt;/author&gt;&lt;author&gt;Heuer, Arthur H&lt;/author&gt;&lt;/authors&gt;&lt;/contributors&gt;&lt;titles&gt;&lt;t</w:instrText>
      </w:r>
      <w:r>
        <w:rPr>
          <w:rFonts w:hint="eastAsia"/>
          <w:sz w:val="18"/>
          <w:szCs w:val="18"/>
          <w:lang w:val="en-GB"/>
        </w:rPr>
        <w:instrText>itle&gt;Temperature dependence of hardness in yttria</w:instrText>
      </w:r>
      <w:r>
        <w:rPr>
          <w:rFonts w:hint="eastAsia"/>
          <w:sz w:val="18"/>
          <w:szCs w:val="18"/>
          <w:lang w:val="en-GB"/>
        </w:rPr>
        <w:instrText>‐</w:instrText>
      </w:r>
      <w:r>
        <w:rPr>
          <w:rFonts w:hint="eastAsia"/>
          <w:sz w:val="18"/>
          <w:szCs w:val="18"/>
          <w:lang w:val="en-GB"/>
        </w:rPr>
        <w:instrText>stabilized zirconia single crystals&lt;/title&gt;&lt;secondary-title&gt;Journal of the American Ceramic Society&lt;/secondary-title&gt;&lt;/titles&gt;&lt;periodical&gt;&lt;full-title&gt;Journal of the American Ceramic Society&lt;/full-title&gt;&lt;ab</w:instrText>
      </w:r>
      <w:r>
        <w:rPr>
          <w:sz w:val="18"/>
          <w:szCs w:val="18"/>
          <w:lang w:val="en-GB"/>
        </w:rPr>
        <w:instrText>br-1&gt;J. Am. Ceram. Soc.&lt;/abbr-1&gt;&lt;abbr-2&gt;J. Am. Ceram. Soc.&lt;/abbr-2&gt;&lt;abbr-3&gt;J. Am. Ceram. Soc.&lt;/abbr-3&gt;&lt;/periodical&gt;&lt;pages&gt;491-500&lt;/pages&gt;&lt;volume&gt;74&lt;/volume&gt;&lt;number&gt;3&lt;/number&gt;&lt;dates&gt;&lt;year&gt;1991&lt;/year&gt;&lt;/dates&gt;&lt;isbn&gt;0002-7820&lt;/isbn&gt;&lt;urls&gt;&lt;/urls&gt;&lt;/record&gt;&lt;/Cite&gt;&lt;/EndNote&gt;</w:instrText>
      </w:r>
      <w:r>
        <w:rPr>
          <w:sz w:val="18"/>
          <w:szCs w:val="18"/>
          <w:lang w:val="en-GB"/>
        </w:rPr>
        <w:fldChar w:fldCharType="separate"/>
      </w:r>
      <w:r w:rsidRPr="00840708">
        <w:rPr>
          <w:noProof/>
          <w:sz w:val="18"/>
          <w:szCs w:val="18"/>
          <w:vertAlign w:val="superscript"/>
          <w:lang w:val="en-GB"/>
        </w:rPr>
        <w:t>1</w:t>
      </w:r>
      <w:r>
        <w:rPr>
          <w:sz w:val="18"/>
          <w:szCs w:val="18"/>
          <w:lang w:val="en-GB"/>
        </w:rPr>
        <w:fldChar w:fldCharType="end"/>
      </w:r>
      <w:r>
        <w:rPr>
          <w:sz w:val="18"/>
          <w:szCs w:val="18"/>
          <w:lang w:val="en-GB"/>
        </w:rPr>
        <w:t xml:space="preserve"> Activated slip systems are labelled. The </w:t>
      </w:r>
      <w:r w:rsidRPr="006875FA">
        <w:rPr>
          <w:sz w:val="18"/>
          <w:szCs w:val="18"/>
          <w:lang w:val="en-GB"/>
        </w:rPr>
        <w:t>dislocations gliding on respective planes converging at {111} planes</w:t>
      </w:r>
      <w:r>
        <w:rPr>
          <w:sz w:val="18"/>
          <w:szCs w:val="18"/>
          <w:lang w:val="en-GB"/>
        </w:rPr>
        <w:t xml:space="preserve"> forming the </w:t>
      </w:r>
      <w:proofErr w:type="spellStart"/>
      <w:r>
        <w:rPr>
          <w:sz w:val="18"/>
          <w:szCs w:val="18"/>
          <w:lang w:val="en-GB"/>
        </w:rPr>
        <w:t>Lomer</w:t>
      </w:r>
      <w:proofErr w:type="spellEnd"/>
      <w:r>
        <w:rPr>
          <w:sz w:val="18"/>
          <w:szCs w:val="18"/>
          <w:lang w:val="en-GB"/>
        </w:rPr>
        <w:t xml:space="preserve">-Cottrel junction </w:t>
      </w:r>
      <w:r w:rsidRPr="006875FA">
        <w:rPr>
          <w:sz w:val="18"/>
          <w:szCs w:val="18"/>
          <w:lang w:val="en-GB"/>
        </w:rPr>
        <w:t>(symbol</w:t>
      </w:r>
      <w:r>
        <w:rPr>
          <w:sz w:val="18"/>
          <w:szCs w:val="18"/>
          <w:lang w:val="en-GB"/>
        </w:rPr>
        <w:t>ized with</w:t>
      </w:r>
      <w:r w:rsidRPr="006875FA">
        <w:rPr>
          <w:sz w:val="18"/>
          <w:szCs w:val="18"/>
          <w:lang w:val="en-GB"/>
        </w:rPr>
        <w:t xml:space="preserve"> </w:t>
      </w:r>
      <w:r w:rsidRPr="006875FA">
        <w:rPr>
          <w:rFonts w:ascii="Cambria Math" w:hAnsi="Cambria Math" w:cs="Cambria Math"/>
          <w:sz w:val="18"/>
          <w:szCs w:val="18"/>
          <w:lang w:val="en-GB"/>
        </w:rPr>
        <w:t>⊗</w:t>
      </w:r>
      <w:r w:rsidRPr="006875FA">
        <w:rPr>
          <w:sz w:val="18"/>
          <w:szCs w:val="18"/>
          <w:lang w:val="en-GB"/>
        </w:rPr>
        <w:t>)</w:t>
      </w:r>
      <w:r>
        <w:rPr>
          <w:sz w:val="18"/>
          <w:szCs w:val="18"/>
          <w:lang w:val="en-GB"/>
        </w:rPr>
        <w:t>.</w:t>
      </w:r>
    </w:p>
    <w:p w14:paraId="2B33158D" w14:textId="77777777" w:rsidR="00840708" w:rsidRPr="00617E72" w:rsidRDefault="00840708" w:rsidP="00840708">
      <w:pPr>
        <w:jc w:val="both"/>
        <w:rPr>
          <w:lang w:val="en-GB"/>
        </w:rPr>
      </w:pPr>
    </w:p>
    <w:p w14:paraId="61CE9B76" w14:textId="77777777" w:rsidR="00840708" w:rsidRDefault="00840708" w:rsidP="00840708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40C59DD7" wp14:editId="7845291A">
            <wp:extent cx="4748970" cy="360000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EE485" w14:textId="77777777" w:rsidR="00840708" w:rsidRDefault="00840708" w:rsidP="00840708">
      <w:pPr>
        <w:jc w:val="both"/>
        <w:rPr>
          <w:sz w:val="18"/>
          <w:szCs w:val="18"/>
          <w:lang w:val="en-GB"/>
        </w:rPr>
      </w:pPr>
      <w:r w:rsidRPr="002624E7">
        <w:rPr>
          <w:b/>
          <w:bCs/>
          <w:sz w:val="18"/>
          <w:szCs w:val="18"/>
          <w:lang w:val="en-GB"/>
        </w:rPr>
        <w:t>Figure S</w:t>
      </w:r>
      <w:r>
        <w:rPr>
          <w:b/>
          <w:bCs/>
          <w:sz w:val="18"/>
          <w:szCs w:val="18"/>
          <w:lang w:val="en-GB"/>
        </w:rPr>
        <w:t>3</w:t>
      </w:r>
      <w:r w:rsidRPr="002624E7">
        <w:rPr>
          <w:b/>
          <w:bCs/>
          <w:sz w:val="18"/>
          <w:szCs w:val="18"/>
          <w:lang w:val="en-GB"/>
        </w:rPr>
        <w:t>:</w:t>
      </w:r>
      <w:r w:rsidRPr="00A46CF7">
        <w:rPr>
          <w:sz w:val="18"/>
          <w:szCs w:val="18"/>
          <w:lang w:val="en-GB"/>
        </w:rPr>
        <w:t xml:space="preserve"> </w:t>
      </w:r>
      <w:r>
        <w:rPr>
          <w:sz w:val="18"/>
          <w:szCs w:val="18"/>
          <w:lang w:val="en-GB"/>
        </w:rPr>
        <w:t>Electron backscatter diffraction (</w:t>
      </w:r>
      <w:r w:rsidRPr="00A46CF7">
        <w:rPr>
          <w:sz w:val="18"/>
          <w:szCs w:val="18"/>
          <w:lang w:val="en-GB"/>
        </w:rPr>
        <w:t>EBSD</w:t>
      </w:r>
      <w:r>
        <w:rPr>
          <w:sz w:val="18"/>
          <w:szCs w:val="18"/>
          <w:lang w:val="en-GB"/>
        </w:rPr>
        <w:t xml:space="preserve">) </w:t>
      </w:r>
      <w:r w:rsidRPr="00A46CF7">
        <w:rPr>
          <w:sz w:val="18"/>
          <w:szCs w:val="18"/>
          <w:lang w:val="en-GB"/>
        </w:rPr>
        <w:t>map</w:t>
      </w:r>
      <w:r>
        <w:rPr>
          <w:sz w:val="18"/>
          <w:szCs w:val="18"/>
          <w:lang w:val="en-GB"/>
        </w:rPr>
        <w:t>s</w:t>
      </w:r>
      <w:r w:rsidRPr="00A46CF7">
        <w:rPr>
          <w:sz w:val="18"/>
          <w:szCs w:val="18"/>
          <w:lang w:val="en-GB"/>
        </w:rPr>
        <w:t xml:space="preserve"> of bulk and </w:t>
      </w:r>
      <w:r>
        <w:rPr>
          <w:sz w:val="18"/>
          <w:szCs w:val="18"/>
          <w:lang w:val="en-GB"/>
        </w:rPr>
        <w:t xml:space="preserve">indentation-induced </w:t>
      </w:r>
      <w:r w:rsidRPr="00A46CF7">
        <w:rPr>
          <w:sz w:val="18"/>
          <w:szCs w:val="18"/>
          <w:lang w:val="en-GB"/>
        </w:rPr>
        <w:t>dislocation</w:t>
      </w:r>
      <w:r>
        <w:rPr>
          <w:sz w:val="18"/>
          <w:szCs w:val="18"/>
          <w:lang w:val="en-GB"/>
        </w:rPr>
        <w:t xml:space="preserve"> areas</w:t>
      </w:r>
      <w:r w:rsidRPr="00A46CF7">
        <w:rPr>
          <w:sz w:val="18"/>
          <w:szCs w:val="18"/>
          <w:lang w:val="en-GB"/>
        </w:rPr>
        <w:t xml:space="preserve">, depicting each region's </w:t>
      </w:r>
      <w:r>
        <w:rPr>
          <w:sz w:val="18"/>
          <w:szCs w:val="18"/>
          <w:lang w:val="en-GB"/>
        </w:rPr>
        <w:t>geometrically necessary dislocation (</w:t>
      </w:r>
      <w:r w:rsidRPr="00A46CF7">
        <w:rPr>
          <w:sz w:val="18"/>
          <w:szCs w:val="18"/>
          <w:lang w:val="en-GB"/>
        </w:rPr>
        <w:t>GND</w:t>
      </w:r>
      <w:r>
        <w:rPr>
          <w:sz w:val="18"/>
          <w:szCs w:val="18"/>
          <w:lang w:val="en-GB"/>
        </w:rPr>
        <w:t>)</w:t>
      </w:r>
      <w:r w:rsidRPr="00A46CF7">
        <w:rPr>
          <w:sz w:val="18"/>
          <w:szCs w:val="18"/>
          <w:lang w:val="en-GB"/>
        </w:rPr>
        <w:t xml:space="preserve"> densit</w:t>
      </w:r>
      <w:r>
        <w:rPr>
          <w:sz w:val="18"/>
          <w:szCs w:val="18"/>
          <w:lang w:val="en-GB"/>
        </w:rPr>
        <w:t>ies</w:t>
      </w:r>
      <w:r w:rsidRPr="00A46CF7">
        <w:rPr>
          <w:sz w:val="18"/>
          <w:szCs w:val="18"/>
          <w:lang w:val="en-GB"/>
        </w:rPr>
        <w:t>.</w:t>
      </w:r>
      <w:r>
        <w:rPr>
          <w:sz w:val="18"/>
          <w:szCs w:val="18"/>
          <w:lang w:val="en-GB"/>
        </w:rPr>
        <w:t xml:space="preserve"> The data is reported for the specimens indented with Berkovich pyramid-shaped indenter at 600 °C substrate temperature.</w:t>
      </w:r>
    </w:p>
    <w:p w14:paraId="7801964F" w14:textId="77777777" w:rsidR="00840708" w:rsidRDefault="00840708" w:rsidP="00840708">
      <w:pPr>
        <w:jc w:val="both"/>
        <w:rPr>
          <w:sz w:val="18"/>
          <w:szCs w:val="18"/>
          <w:lang w:val="en-GB"/>
        </w:rPr>
      </w:pPr>
      <w:bookmarkStart w:id="0" w:name="_Hlk114576973"/>
    </w:p>
    <w:bookmarkEnd w:id="0"/>
    <w:p w14:paraId="6FF0464A" w14:textId="77777777" w:rsidR="00840708" w:rsidRPr="000B399C" w:rsidRDefault="00840708" w:rsidP="00840708">
      <w:pPr>
        <w:jc w:val="center"/>
        <w:rPr>
          <w:sz w:val="18"/>
          <w:szCs w:val="18"/>
          <w:lang w:val="en-GB"/>
        </w:rPr>
      </w:pPr>
      <w:r>
        <w:rPr>
          <w:noProof/>
        </w:rPr>
        <w:lastRenderedPageBreak/>
        <w:drawing>
          <wp:inline distT="0" distB="0" distL="0" distR="0" wp14:anchorId="1046CF26" wp14:editId="07858C4C">
            <wp:extent cx="3059394" cy="28800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9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6CCE" w14:textId="77777777" w:rsidR="00840708" w:rsidRDefault="00840708" w:rsidP="00840708">
      <w:pPr>
        <w:jc w:val="both"/>
        <w:rPr>
          <w:sz w:val="18"/>
          <w:szCs w:val="18"/>
          <w:lang w:val="en-GB"/>
        </w:rPr>
      </w:pPr>
      <w:r w:rsidRPr="00BE399D">
        <w:rPr>
          <w:b/>
          <w:bCs/>
          <w:sz w:val="18"/>
          <w:szCs w:val="18"/>
          <w:lang w:val="en-GB"/>
        </w:rPr>
        <w:t>Figure</w:t>
      </w:r>
      <w:r>
        <w:rPr>
          <w:b/>
          <w:bCs/>
          <w:sz w:val="18"/>
          <w:szCs w:val="18"/>
          <w:lang w:val="en-GB"/>
        </w:rPr>
        <w:t xml:space="preserve"> S4</w:t>
      </w:r>
      <w:r w:rsidRPr="000B399C">
        <w:rPr>
          <w:sz w:val="18"/>
          <w:szCs w:val="18"/>
          <w:lang w:val="en-GB"/>
        </w:rPr>
        <w:t xml:space="preserve">: </w:t>
      </w:r>
      <w:r>
        <w:rPr>
          <w:sz w:val="18"/>
          <w:szCs w:val="18"/>
          <w:lang w:val="en-GB"/>
        </w:rPr>
        <w:t xml:space="preserve">Dislocation density evaluation for pristine specimens. Chemical etching was employed to reveal the pre-existing dislocations in the form of etch-pits (bright spots in the image). Statistics were recorded in different regions onto the same specimen to evaluate the pristine average dislocation density. </w:t>
      </w:r>
    </w:p>
    <w:p w14:paraId="03EC18A5" w14:textId="77777777" w:rsidR="00840708" w:rsidRPr="00900AB8" w:rsidRDefault="00840708" w:rsidP="00840708">
      <w:pPr>
        <w:jc w:val="both"/>
        <w:rPr>
          <w:sz w:val="18"/>
          <w:szCs w:val="18"/>
          <w:lang w:val="en-GB"/>
        </w:rPr>
      </w:pPr>
    </w:p>
    <w:p w14:paraId="137A2485" w14:textId="77777777" w:rsidR="00840708" w:rsidRDefault="00840708" w:rsidP="0084070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963E886" wp14:editId="78DC16E5">
            <wp:extent cx="1454785" cy="1336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7CD18" w14:textId="77777777" w:rsidR="00840708" w:rsidRDefault="00840708" w:rsidP="00840708">
      <w:pPr>
        <w:jc w:val="both"/>
        <w:rPr>
          <w:rFonts w:cstheme="minorHAnsi"/>
          <w:sz w:val="18"/>
          <w:szCs w:val="18"/>
          <w:lang w:val="en-GB"/>
        </w:rPr>
      </w:pPr>
      <w:r w:rsidRPr="00C00587">
        <w:rPr>
          <w:b/>
          <w:bCs/>
          <w:sz w:val="18"/>
          <w:szCs w:val="18"/>
          <w:lang w:val="en-GB"/>
        </w:rPr>
        <w:t>Figure S</w:t>
      </w:r>
      <w:r>
        <w:rPr>
          <w:b/>
          <w:bCs/>
          <w:sz w:val="18"/>
          <w:szCs w:val="18"/>
          <w:lang w:val="en-GB"/>
        </w:rPr>
        <w:t>5</w:t>
      </w:r>
      <w:r w:rsidRPr="00C00587">
        <w:rPr>
          <w:b/>
          <w:bCs/>
          <w:sz w:val="18"/>
          <w:szCs w:val="18"/>
          <w:lang w:val="en-GB"/>
        </w:rPr>
        <w:t>:</w:t>
      </w:r>
      <w:r w:rsidRPr="00A46CF7">
        <w:rPr>
          <w:sz w:val="18"/>
          <w:szCs w:val="18"/>
          <w:lang w:val="en-GB"/>
        </w:rPr>
        <w:t xml:space="preserve"> </w:t>
      </w:r>
      <w:r>
        <w:rPr>
          <w:sz w:val="18"/>
          <w:szCs w:val="18"/>
          <w:lang w:val="en-GB"/>
        </w:rPr>
        <w:t>The optical-light micrograph of La</w:t>
      </w:r>
      <w:r w:rsidRPr="00AA5DAC">
        <w:rPr>
          <w:sz w:val="18"/>
          <w:szCs w:val="18"/>
          <w:vertAlign w:val="subscript"/>
          <w:lang w:val="en-GB"/>
        </w:rPr>
        <w:t>0.6</w:t>
      </w:r>
      <w:r>
        <w:rPr>
          <w:sz w:val="18"/>
          <w:szCs w:val="18"/>
          <w:lang w:val="en-GB"/>
        </w:rPr>
        <w:t>Sr</w:t>
      </w:r>
      <w:r w:rsidRPr="00AA5DAC">
        <w:rPr>
          <w:sz w:val="18"/>
          <w:szCs w:val="18"/>
          <w:vertAlign w:val="subscript"/>
          <w:lang w:val="en-GB"/>
        </w:rPr>
        <w:t>0.4</w:t>
      </w:r>
      <w:r>
        <w:rPr>
          <w:sz w:val="18"/>
          <w:szCs w:val="18"/>
          <w:lang w:val="en-GB"/>
        </w:rPr>
        <w:t>CoO</w:t>
      </w:r>
      <w:r w:rsidRPr="009A4B58">
        <w:rPr>
          <w:sz w:val="18"/>
          <w:szCs w:val="18"/>
          <w:vertAlign w:val="subscript"/>
          <w:lang w:val="en-GB"/>
        </w:rPr>
        <w:t>3-δ</w:t>
      </w:r>
      <w:r>
        <w:rPr>
          <w:sz w:val="18"/>
          <w:szCs w:val="18"/>
          <w:lang w:val="en-GB"/>
        </w:rPr>
        <w:t xml:space="preserve"> (LSC) microcontact portrays </w:t>
      </w:r>
      <w:r w:rsidRPr="00A46CF7">
        <w:rPr>
          <w:sz w:val="18"/>
          <w:szCs w:val="18"/>
          <w:lang w:val="en-GB"/>
        </w:rPr>
        <w:t xml:space="preserve">the </w:t>
      </w:r>
      <w:r w:rsidRPr="00A46CF7">
        <w:rPr>
          <w:rFonts w:cstheme="minorHAnsi"/>
          <w:sz w:val="18"/>
          <w:szCs w:val="18"/>
          <w:lang w:val="en-GB"/>
        </w:rPr>
        <w:t>intemperate chemical etching</w:t>
      </w:r>
      <w:r>
        <w:rPr>
          <w:rFonts w:cstheme="minorHAnsi"/>
          <w:sz w:val="18"/>
          <w:szCs w:val="18"/>
          <w:lang w:val="en-GB"/>
        </w:rPr>
        <w:t xml:space="preserve"> process</w:t>
      </w:r>
      <w:r w:rsidRPr="00A46CF7">
        <w:rPr>
          <w:rFonts w:cstheme="minorHAnsi"/>
          <w:sz w:val="18"/>
          <w:szCs w:val="18"/>
          <w:lang w:val="en-GB"/>
        </w:rPr>
        <w:t xml:space="preserve">. </w:t>
      </w:r>
      <w:r>
        <w:rPr>
          <w:rFonts w:cstheme="minorHAnsi"/>
          <w:sz w:val="18"/>
          <w:szCs w:val="18"/>
          <w:lang w:val="en-GB"/>
        </w:rPr>
        <w:t>"</w:t>
      </w:r>
      <w:r w:rsidRPr="00A46CF7">
        <w:rPr>
          <w:rFonts w:cstheme="minorHAnsi"/>
          <w:sz w:val="18"/>
          <w:szCs w:val="18"/>
          <w:lang w:val="en-GB"/>
        </w:rPr>
        <w:t>D</w:t>
      </w:r>
      <w:r>
        <w:rPr>
          <w:rFonts w:cstheme="minorHAnsi"/>
          <w:sz w:val="18"/>
          <w:szCs w:val="18"/>
          <w:lang w:val="en-GB"/>
        </w:rPr>
        <w:t>"</w:t>
      </w:r>
      <w:r w:rsidRPr="00A46CF7">
        <w:rPr>
          <w:rFonts w:cstheme="minorHAnsi"/>
          <w:sz w:val="18"/>
          <w:szCs w:val="18"/>
          <w:lang w:val="en-GB"/>
        </w:rPr>
        <w:t xml:space="preserve"> shows the initial diameter of the </w:t>
      </w:r>
      <w:r>
        <w:rPr>
          <w:rFonts w:cstheme="minorHAnsi"/>
          <w:sz w:val="18"/>
          <w:szCs w:val="18"/>
          <w:lang w:val="en-GB"/>
        </w:rPr>
        <w:t>microcontact</w:t>
      </w:r>
      <w:r w:rsidRPr="00A46CF7">
        <w:rPr>
          <w:rFonts w:cstheme="minorHAnsi"/>
          <w:sz w:val="18"/>
          <w:szCs w:val="18"/>
          <w:lang w:val="en-GB"/>
        </w:rPr>
        <w:t xml:space="preserve">, </w:t>
      </w:r>
      <w:r>
        <w:rPr>
          <w:rFonts w:cstheme="minorHAnsi"/>
          <w:sz w:val="18"/>
          <w:szCs w:val="18"/>
          <w:lang w:val="en-GB"/>
        </w:rPr>
        <w:t xml:space="preserve">and </w:t>
      </w:r>
      <w:r w:rsidRPr="00A46CF7">
        <w:rPr>
          <w:rFonts w:cstheme="minorHAnsi"/>
          <w:sz w:val="18"/>
          <w:szCs w:val="18"/>
          <w:lang w:val="en-GB"/>
        </w:rPr>
        <w:t>"d" depict</w:t>
      </w:r>
      <w:r>
        <w:rPr>
          <w:rFonts w:cstheme="minorHAnsi"/>
          <w:sz w:val="18"/>
          <w:szCs w:val="18"/>
          <w:lang w:val="en-GB"/>
        </w:rPr>
        <w:t>s</w:t>
      </w:r>
      <w:r w:rsidRPr="00A46CF7">
        <w:rPr>
          <w:rFonts w:cstheme="minorHAnsi"/>
          <w:sz w:val="18"/>
          <w:szCs w:val="18"/>
          <w:lang w:val="en-GB"/>
        </w:rPr>
        <w:t xml:space="preserve"> the </w:t>
      </w:r>
      <w:r>
        <w:rPr>
          <w:rFonts w:cstheme="minorHAnsi"/>
          <w:sz w:val="18"/>
          <w:szCs w:val="18"/>
          <w:lang w:val="en-GB"/>
        </w:rPr>
        <w:t xml:space="preserve">final </w:t>
      </w:r>
      <w:r w:rsidRPr="00A46CF7">
        <w:rPr>
          <w:rFonts w:cstheme="minorHAnsi"/>
          <w:sz w:val="18"/>
          <w:szCs w:val="18"/>
          <w:lang w:val="en-GB"/>
        </w:rPr>
        <w:t xml:space="preserve">achieved diameter. Resistivity </w:t>
      </w:r>
      <w:r>
        <w:rPr>
          <w:rFonts w:cstheme="minorHAnsi"/>
          <w:sz w:val="18"/>
          <w:szCs w:val="18"/>
          <w:lang w:val="en-GB"/>
        </w:rPr>
        <w:t xml:space="preserve">data presented in Fig. 4d was evaluated </w:t>
      </w:r>
      <w:r w:rsidRPr="00A46CF7">
        <w:rPr>
          <w:rFonts w:cstheme="minorHAnsi"/>
          <w:sz w:val="18"/>
          <w:szCs w:val="18"/>
          <w:lang w:val="en-GB"/>
        </w:rPr>
        <w:t>considering "d".</w:t>
      </w:r>
    </w:p>
    <w:p w14:paraId="4ACA0396" w14:textId="77777777" w:rsidR="00840708" w:rsidRDefault="00840708">
      <w:pPr>
        <w:rPr>
          <w:lang w:val="en-GB"/>
        </w:rPr>
      </w:pPr>
    </w:p>
    <w:p w14:paraId="2811C0BB" w14:textId="0BB203A6" w:rsidR="00324CF8" w:rsidRPr="0039058E" w:rsidRDefault="0039058E">
      <w:pPr>
        <w:rPr>
          <w:b/>
          <w:bCs/>
          <w:lang w:val="en-GB"/>
        </w:rPr>
      </w:pPr>
      <w:r w:rsidRPr="0039058E">
        <w:rPr>
          <w:b/>
          <w:bCs/>
          <w:lang w:val="en-GB"/>
        </w:rPr>
        <w:t>References</w:t>
      </w:r>
    </w:p>
    <w:p w14:paraId="144F7578" w14:textId="77777777" w:rsidR="00840708" w:rsidRPr="00840708" w:rsidRDefault="00840708" w:rsidP="00840708">
      <w:pPr>
        <w:pStyle w:val="EndNoteBibliography"/>
      </w:pPr>
      <w:r>
        <w:rPr>
          <w:lang w:val="en-GB"/>
        </w:rPr>
        <w:fldChar w:fldCharType="begin"/>
      </w:r>
      <w:r>
        <w:rPr>
          <w:lang w:val="en-GB"/>
        </w:rPr>
        <w:instrText xml:space="preserve"> ADDIN EN.REFLIST </w:instrText>
      </w:r>
      <w:r>
        <w:rPr>
          <w:lang w:val="en-GB"/>
        </w:rPr>
        <w:fldChar w:fldCharType="separate"/>
      </w:r>
      <w:r w:rsidRPr="00840708">
        <w:rPr>
          <w:rFonts w:hint="eastAsia"/>
        </w:rPr>
        <w:t>1.</w:t>
      </w:r>
      <w:r w:rsidRPr="00840708">
        <w:rPr>
          <w:rFonts w:hint="eastAsia"/>
        </w:rPr>
        <w:tab/>
        <w:t>Morscher GN, Pirouz P, Heuer AH. Temperature dependence of hardness in yttria</w:t>
      </w:r>
      <w:r w:rsidRPr="00840708">
        <w:rPr>
          <w:rFonts w:hint="eastAsia"/>
        </w:rPr>
        <w:t>‐</w:t>
      </w:r>
      <w:r w:rsidRPr="00840708">
        <w:rPr>
          <w:rFonts w:hint="eastAsia"/>
        </w:rPr>
        <w:t>stabilized zirconia single crystals. J Am Ceram Soc. 1991;74(3):491-500.</w:t>
      </w:r>
    </w:p>
    <w:p w14:paraId="73C934AC" w14:textId="4DF03C8B" w:rsidR="002744CC" w:rsidRPr="00840708" w:rsidRDefault="00840708">
      <w:pPr>
        <w:rPr>
          <w:lang w:val="en-GB"/>
        </w:rPr>
      </w:pPr>
      <w:r>
        <w:rPr>
          <w:lang w:val="en-GB"/>
        </w:rPr>
        <w:fldChar w:fldCharType="end"/>
      </w:r>
    </w:p>
    <w:sectPr w:rsidR="002744CC" w:rsidRPr="00840708">
      <w:footerReference w:type="default" r:id="rId13"/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C930F" w14:textId="77777777" w:rsidR="00DD539A" w:rsidRDefault="00DD539A" w:rsidP="00195B33">
      <w:pPr>
        <w:spacing w:after="0" w:line="240" w:lineRule="auto"/>
      </w:pPr>
      <w:r>
        <w:separator/>
      </w:r>
    </w:p>
  </w:endnote>
  <w:endnote w:type="continuationSeparator" w:id="0">
    <w:p w14:paraId="1C1AFB96" w14:textId="77777777" w:rsidR="00DD539A" w:rsidRDefault="00DD539A" w:rsidP="00195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-Italic">
    <w:altName w:val="Calibri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9733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2D58AE" w14:textId="1ED7E611" w:rsidR="00195B33" w:rsidRDefault="00195B33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3B8DBA" w14:textId="77777777" w:rsidR="00195B33" w:rsidRDefault="00195B3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F2E2C" w14:textId="77777777" w:rsidR="00DD539A" w:rsidRDefault="00DD539A" w:rsidP="00195B33">
      <w:pPr>
        <w:spacing w:after="0" w:line="240" w:lineRule="auto"/>
      </w:pPr>
      <w:r>
        <w:separator/>
      </w:r>
    </w:p>
  </w:footnote>
  <w:footnote w:type="continuationSeparator" w:id="0">
    <w:p w14:paraId="3332244A" w14:textId="77777777" w:rsidR="00DD539A" w:rsidRDefault="00DD539A" w:rsidP="00195B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Vancouver Copy-1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d5zftpas0s9toefatope0rbfs2s5svfrs95&quot;&gt;My EndNote Library-Converted&lt;record-ids&gt;&lt;item&gt;50&lt;/item&gt;&lt;/record-ids&gt;&lt;/item&gt;&lt;/Libraries&gt;"/>
  </w:docVars>
  <w:rsids>
    <w:rsidRoot w:val="00840708"/>
    <w:rsid w:val="0005034D"/>
    <w:rsid w:val="000E14FF"/>
    <w:rsid w:val="00141F85"/>
    <w:rsid w:val="00195B33"/>
    <w:rsid w:val="00231FF0"/>
    <w:rsid w:val="002744CC"/>
    <w:rsid w:val="002C03E5"/>
    <w:rsid w:val="00324CF8"/>
    <w:rsid w:val="0039058E"/>
    <w:rsid w:val="00391352"/>
    <w:rsid w:val="003A0016"/>
    <w:rsid w:val="007311FF"/>
    <w:rsid w:val="007802A6"/>
    <w:rsid w:val="00785E81"/>
    <w:rsid w:val="00840708"/>
    <w:rsid w:val="009021D4"/>
    <w:rsid w:val="0095454B"/>
    <w:rsid w:val="00960999"/>
    <w:rsid w:val="009C2B53"/>
    <w:rsid w:val="00A71269"/>
    <w:rsid w:val="00AA5967"/>
    <w:rsid w:val="00B4249E"/>
    <w:rsid w:val="00C75F28"/>
    <w:rsid w:val="00CC08B9"/>
    <w:rsid w:val="00D63225"/>
    <w:rsid w:val="00DC758B"/>
    <w:rsid w:val="00DD539A"/>
    <w:rsid w:val="00F51BAF"/>
    <w:rsid w:val="00F9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A32EC"/>
  <w15:chartTrackingRefBased/>
  <w15:docId w15:val="{6259CDCB-5F5F-45C2-AB1C-5F6B795B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40708"/>
    <w:rPr>
      <w:rFonts w:eastAsia="SimSu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ndNoteBibliographyTitle">
    <w:name w:val="EndNote Bibliography Title"/>
    <w:basedOn w:val="Standard"/>
    <w:link w:val="EndNoteBibliographyTitleChar"/>
    <w:rsid w:val="0084070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840708"/>
    <w:rPr>
      <w:rFonts w:ascii="Calibri" w:eastAsia="SimSun" w:hAnsi="Calibri" w:cs="Calibri"/>
      <w:noProof/>
    </w:rPr>
  </w:style>
  <w:style w:type="paragraph" w:customStyle="1" w:styleId="EndNoteBibliography">
    <w:name w:val="EndNote Bibliography"/>
    <w:basedOn w:val="Standard"/>
    <w:link w:val="EndNoteBibliographyChar"/>
    <w:rsid w:val="00840708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bsatz-Standardschriftart"/>
    <w:link w:val="EndNoteBibliography"/>
    <w:rsid w:val="00840708"/>
    <w:rPr>
      <w:rFonts w:ascii="Calibri" w:eastAsia="SimSun" w:hAnsi="Calibri" w:cs="Calibri"/>
      <w:noProof/>
    </w:rPr>
  </w:style>
  <w:style w:type="character" w:styleId="Hyperlink">
    <w:name w:val="Hyperlink"/>
    <w:basedOn w:val="Absatz-Standardschriftart"/>
    <w:uiPriority w:val="99"/>
    <w:unhideWhenUsed/>
    <w:rsid w:val="00C75F28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95B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B33"/>
    <w:rPr>
      <w:rFonts w:eastAsia="SimSun"/>
    </w:rPr>
  </w:style>
  <w:style w:type="paragraph" w:styleId="Fuzeile">
    <w:name w:val="footer"/>
    <w:basedOn w:val="Standard"/>
    <w:link w:val="FuzeileZchn"/>
    <w:uiPriority w:val="99"/>
    <w:unhideWhenUsed/>
    <w:rsid w:val="00195B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B33"/>
    <w:rPr>
      <w:rFonts w:eastAsia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Froemling@ceramics.tu-darmstadt.de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uhammad@ceramics.tu-darmstadt.de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569</Words>
  <Characters>3590</Characters>
  <Application>Microsoft Office Word</Application>
  <DocSecurity>0</DocSecurity>
  <Lines>29</Lines>
  <Paragraphs>8</Paragraphs>
  <ScaleCrop>false</ScaleCrop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Qaisar Muhammad</dc:creator>
  <cp:keywords/>
  <dc:description/>
  <cp:lastModifiedBy>ng10luke</cp:lastModifiedBy>
  <cp:revision>2</cp:revision>
  <dcterms:created xsi:type="dcterms:W3CDTF">2023-10-23T07:17:00Z</dcterms:created>
  <dcterms:modified xsi:type="dcterms:W3CDTF">2023-10-23T07:17:00Z</dcterms:modified>
</cp:coreProperties>
</file>