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C908D" w14:textId="77777777" w:rsidR="00083E01" w:rsidRPr="0044139D" w:rsidRDefault="00083E01" w:rsidP="00083E0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44139D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Supplement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al</w:t>
      </w:r>
      <w:r w:rsidRPr="0044139D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material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</w:t>
      </w:r>
    </w:p>
    <w:p w14:paraId="43225A6C" w14:textId="77777777" w:rsidR="00083E01" w:rsidRPr="0044139D" w:rsidRDefault="00083E01" w:rsidP="00083E01">
      <w:pPr>
        <w:ind w:right="-18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Hlk114063146"/>
      <w:bookmarkEnd w:id="0"/>
      <w:r w:rsidRPr="0044139D">
        <w:rPr>
          <w:rFonts w:ascii="Times New Roman" w:hAnsi="Times New Roman" w:cs="Times New Roman"/>
          <w:b/>
          <w:sz w:val="28"/>
          <w:szCs w:val="28"/>
          <w:lang w:val="en-US"/>
        </w:rPr>
        <w:t>Temperature-dependence of poling-induced texture and piezoelectric properties in Mg-doped NBT-6BT</w:t>
      </w:r>
    </w:p>
    <w:p w14:paraId="17F3C770" w14:textId="77777777" w:rsidR="00083E01" w:rsidRPr="0044139D" w:rsidRDefault="00083E01" w:rsidP="00083E01">
      <w:pPr>
        <w:pStyle w:val="berschrift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4139D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Laura Cangini, Andreas Wohninsland, Daniel </w:t>
      </w:r>
      <w:proofErr w:type="spellStart"/>
      <w:r w:rsidRPr="0044139D">
        <w:rPr>
          <w:rFonts w:ascii="Times New Roman" w:eastAsiaTheme="minorHAnsi" w:hAnsi="Times New Roman" w:cs="Times New Roman"/>
          <w:color w:val="auto"/>
          <w:sz w:val="24"/>
          <w:szCs w:val="24"/>
        </w:rPr>
        <w:t>Bremecker</w:t>
      </w:r>
      <w:proofErr w:type="spellEnd"/>
      <w:r w:rsidRPr="0044139D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, Lovro </w:t>
      </w:r>
      <w:proofErr w:type="spellStart"/>
      <w:r w:rsidRPr="0044139D">
        <w:rPr>
          <w:rFonts w:ascii="Times New Roman" w:eastAsiaTheme="minorHAnsi" w:hAnsi="Times New Roman" w:cs="Times New Roman"/>
          <w:color w:val="auto"/>
          <w:sz w:val="24"/>
          <w:szCs w:val="24"/>
        </w:rPr>
        <w:t>Fulanović</w:t>
      </w:r>
      <w:proofErr w:type="spellEnd"/>
      <w:r w:rsidRPr="0044139D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44139D">
        <w:rPr>
          <w:rFonts w:ascii="Times New Roman" w:eastAsiaTheme="minorHAnsi" w:hAnsi="Times New Roman" w:cs="Times New Roman"/>
          <w:color w:val="auto"/>
          <w:sz w:val="24"/>
          <w:szCs w:val="24"/>
        </w:rPr>
        <w:t>Changhao</w:t>
      </w:r>
      <w:proofErr w:type="spellEnd"/>
      <w:r w:rsidRPr="0044139D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Zhao, and </w:t>
      </w:r>
      <w:r w:rsidRPr="0044139D">
        <w:rPr>
          <w:rFonts w:ascii="Times New Roman" w:hAnsi="Times New Roman" w:cs="Times New Roman"/>
          <w:color w:val="auto"/>
          <w:sz w:val="24"/>
          <w:szCs w:val="24"/>
        </w:rPr>
        <w:t>Jürgen Rödel</w:t>
      </w:r>
    </w:p>
    <w:p w14:paraId="7E36E43B" w14:textId="77777777" w:rsidR="00083E01" w:rsidRPr="0044139D" w:rsidRDefault="00083E01" w:rsidP="00083E01">
      <w:pPr>
        <w:rPr>
          <w:rFonts w:ascii="Times New Roman" w:hAnsi="Times New Roman" w:cs="Times New Roman"/>
          <w:sz w:val="24"/>
          <w:szCs w:val="24"/>
        </w:rPr>
      </w:pPr>
    </w:p>
    <w:p w14:paraId="1ADEB5C1" w14:textId="77777777" w:rsidR="00083E01" w:rsidRPr="0044139D" w:rsidRDefault="00083E01" w:rsidP="00083E01">
      <w:pPr>
        <w:pStyle w:val="berschrift2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4139D">
        <w:rPr>
          <w:rFonts w:ascii="Times New Roman" w:hAnsi="Times New Roman" w:cs="Times New Roman"/>
          <w:color w:val="auto"/>
          <w:sz w:val="24"/>
          <w:szCs w:val="24"/>
        </w:rPr>
        <w:t xml:space="preserve">Division of </w:t>
      </w:r>
      <w:proofErr w:type="spellStart"/>
      <w:r w:rsidRPr="0044139D">
        <w:rPr>
          <w:rFonts w:ascii="Times New Roman" w:hAnsi="Times New Roman" w:cs="Times New Roman"/>
          <w:color w:val="auto"/>
          <w:sz w:val="24"/>
          <w:szCs w:val="24"/>
        </w:rPr>
        <w:t>Nonmetallic</w:t>
      </w:r>
      <w:proofErr w:type="spellEnd"/>
      <w:r w:rsidRPr="0044139D">
        <w:rPr>
          <w:rFonts w:ascii="Times New Roman" w:hAnsi="Times New Roman" w:cs="Times New Roman"/>
          <w:color w:val="auto"/>
          <w:sz w:val="24"/>
          <w:szCs w:val="24"/>
        </w:rPr>
        <w:t>-Inorganic Materials, Department of Materials and Earth Sciences, Technical University of Darmstadt, 64287 Darmstadt, Germany</w:t>
      </w:r>
      <w:r w:rsidRPr="0044139D" w:rsidDel="00C82EC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6CEF6C93" w14:textId="77777777" w:rsidR="00083E01" w:rsidRPr="0044139D" w:rsidRDefault="00083E01" w:rsidP="00083E01">
      <w:pPr>
        <w:ind w:right="-188"/>
        <w:rPr>
          <w:rFonts w:ascii="Times New Roman" w:hAnsi="Times New Roman" w:cs="Times New Roman"/>
          <w:sz w:val="24"/>
          <w:szCs w:val="24"/>
        </w:rPr>
      </w:pPr>
    </w:p>
    <w:p w14:paraId="38253DD6" w14:textId="77777777" w:rsidR="00083E01" w:rsidRPr="0044139D" w:rsidRDefault="00083E01" w:rsidP="00083E01">
      <w:pPr>
        <w:ind w:right="-188"/>
        <w:rPr>
          <w:rFonts w:ascii="Times New Roman" w:hAnsi="Times New Roman" w:cs="Times New Roman"/>
          <w:sz w:val="24"/>
          <w:szCs w:val="24"/>
        </w:rPr>
      </w:pPr>
      <w:r w:rsidRPr="0044139D">
        <w:rPr>
          <w:rFonts w:ascii="Times New Roman" w:hAnsi="Times New Roman" w:cs="Times New Roman"/>
          <w:sz w:val="24"/>
          <w:szCs w:val="24"/>
        </w:rPr>
        <w:t xml:space="preserve">Corresponding author: </w:t>
      </w:r>
      <w:hyperlink r:id="rId6" w:history="1">
        <w:r w:rsidRPr="0044139D">
          <w:rPr>
            <w:rStyle w:val="Hyperlink"/>
            <w:rFonts w:ascii="Times New Roman" w:hAnsi="Times New Roman" w:cs="Times New Roman"/>
            <w:sz w:val="24"/>
            <w:szCs w:val="24"/>
          </w:rPr>
          <w:t>cangini@ceramics.tu-darmstadt.de</w:t>
        </w:r>
      </w:hyperlink>
    </w:p>
    <w:p w14:paraId="07C20D18" w14:textId="77777777" w:rsidR="00083E01" w:rsidRDefault="00083E01" w:rsidP="00083E0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A7CF6BC" w14:textId="77777777" w:rsidR="00083E01" w:rsidRDefault="00083E01" w:rsidP="00083E0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EE405E1" wp14:editId="5CC247AD">
            <wp:extent cx="3076575" cy="4357699"/>
            <wp:effectExtent l="0" t="0" r="0" b="5080"/>
            <wp:docPr id="1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Graphical user interfac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0" t="1033" r="42003" b="406"/>
                    <a:stretch/>
                  </pic:blipFill>
                  <pic:spPr bwMode="auto">
                    <a:xfrm>
                      <a:off x="0" y="0"/>
                      <a:ext cx="3084861" cy="436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259CB" w14:textId="77777777" w:rsidR="00083E01" w:rsidRDefault="00083E01" w:rsidP="00083E01">
      <w:pPr>
        <w:pStyle w:val="Beschriftung"/>
        <w:spacing w:line="480" w:lineRule="auto"/>
        <w:rPr>
          <w:sz w:val="24"/>
          <w:szCs w:val="24"/>
        </w:rPr>
      </w:pPr>
      <w:bookmarkStart w:id="1" w:name="_Ref121991502"/>
      <w:r w:rsidRPr="005868EB">
        <w:rPr>
          <w:b/>
          <w:bCs/>
          <w:sz w:val="24"/>
          <w:szCs w:val="24"/>
        </w:rPr>
        <w:t>Fig</w:t>
      </w:r>
      <w:r>
        <w:rPr>
          <w:b/>
          <w:bCs/>
          <w:sz w:val="24"/>
          <w:szCs w:val="24"/>
        </w:rPr>
        <w:t>.</w:t>
      </w:r>
      <w:r w:rsidRPr="005868EB">
        <w:rPr>
          <w:b/>
          <w:bCs/>
          <w:sz w:val="24"/>
          <w:szCs w:val="24"/>
        </w:rPr>
        <w:t xml:space="preserve"> S</w:t>
      </w:r>
      <w:r w:rsidRPr="005868EB">
        <w:rPr>
          <w:b/>
          <w:bCs/>
          <w:sz w:val="24"/>
          <w:szCs w:val="24"/>
        </w:rPr>
        <w:fldChar w:fldCharType="begin"/>
      </w:r>
      <w:r w:rsidRPr="005868EB">
        <w:rPr>
          <w:b/>
          <w:bCs/>
          <w:sz w:val="24"/>
          <w:szCs w:val="24"/>
        </w:rPr>
        <w:instrText xml:space="preserve"> SEQ Figure_S \* ARABIC </w:instrText>
      </w:r>
      <w:r w:rsidRPr="005868EB">
        <w:rPr>
          <w:b/>
          <w:bCs/>
          <w:sz w:val="24"/>
          <w:szCs w:val="24"/>
        </w:rPr>
        <w:fldChar w:fldCharType="separate"/>
      </w:r>
      <w:r w:rsidRPr="005868EB">
        <w:rPr>
          <w:b/>
          <w:bCs/>
          <w:noProof/>
          <w:sz w:val="24"/>
          <w:szCs w:val="24"/>
        </w:rPr>
        <w:t>1</w:t>
      </w:r>
      <w:r w:rsidRPr="005868EB">
        <w:rPr>
          <w:b/>
          <w:bCs/>
          <w:sz w:val="24"/>
          <w:szCs w:val="24"/>
        </w:rPr>
        <w:fldChar w:fldCharType="end"/>
      </w:r>
      <w:bookmarkEnd w:id="1"/>
      <w:r w:rsidRPr="005868EB">
        <w:rPr>
          <w:b/>
          <w:bCs/>
          <w:sz w:val="24"/>
          <w:szCs w:val="24"/>
        </w:rPr>
        <w:t>.</w:t>
      </w:r>
      <w:r w:rsidRPr="0044139D">
        <w:rPr>
          <w:sz w:val="24"/>
          <w:szCs w:val="24"/>
        </w:rPr>
        <w:t xml:space="preserve"> Examples for weighted refined diffraction patterns of poled NBT-6BT and NBT-6BT-0.5Mg collected at 30 °C. The insets show an enlarged part of the diffraction patterns with the 111pc and 200pc sets of reflections.</w:t>
      </w:r>
    </w:p>
    <w:p w14:paraId="460BB63C" w14:textId="77777777" w:rsidR="00083E01" w:rsidRDefault="00083E01" w:rsidP="00083E01">
      <w:pPr>
        <w:jc w:val="center"/>
        <w:rPr>
          <w:rFonts w:ascii="Georgia Pro" w:hAnsi="Georgia Pro" w:cs="Times New Roman"/>
          <w:b/>
          <w:sz w:val="24"/>
          <w:szCs w:val="24"/>
        </w:rPr>
      </w:pPr>
      <w:r w:rsidRPr="005868EB">
        <w:rPr>
          <w:rFonts w:ascii="Georgia Pro" w:hAnsi="Georgia Pro" w:cs="Times New Roman"/>
          <w:b/>
          <w:noProof/>
          <w:sz w:val="24"/>
          <w:szCs w:val="24"/>
        </w:rPr>
        <w:lastRenderedPageBreak/>
        <w:drawing>
          <wp:inline distT="0" distB="0" distL="0" distR="0" wp14:anchorId="2444A7DE" wp14:editId="78E8B853">
            <wp:extent cx="5057422" cy="43654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0157" cy="43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EE71" w14:textId="77777777" w:rsidR="00083E01" w:rsidRDefault="00083E01" w:rsidP="00083E01">
      <w:pPr>
        <w:spacing w:line="48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eastAsia="en-GB"/>
        </w:rPr>
      </w:pPr>
      <w:r w:rsidRPr="005868EB">
        <w:rPr>
          <w:rFonts w:ascii="Times New Roman" w:eastAsia="Times New Roman" w:hAnsi="Times New Roman" w:cs="Times New Roman"/>
          <w:b/>
          <w:color w:val="0E101A"/>
          <w:sz w:val="24"/>
          <w:szCs w:val="24"/>
          <w:lang w:eastAsia="en-GB"/>
        </w:rPr>
        <w:t>Fig</w:t>
      </w:r>
      <w:r>
        <w:rPr>
          <w:rFonts w:ascii="Times New Roman" w:eastAsia="Times New Roman" w:hAnsi="Times New Roman" w:cs="Times New Roman"/>
          <w:b/>
          <w:color w:val="0E101A"/>
          <w:sz w:val="24"/>
          <w:szCs w:val="24"/>
          <w:lang w:eastAsia="en-GB"/>
        </w:rPr>
        <w:t>.</w:t>
      </w:r>
      <w:r w:rsidRPr="005868EB">
        <w:rPr>
          <w:rFonts w:ascii="Times New Roman" w:eastAsia="Times New Roman" w:hAnsi="Times New Roman" w:cs="Times New Roman"/>
          <w:b/>
          <w:color w:val="0E101A"/>
          <w:sz w:val="24"/>
          <w:szCs w:val="24"/>
          <w:lang w:eastAsia="en-GB"/>
        </w:rPr>
        <w:t xml:space="preserve"> S2.</w:t>
      </w:r>
      <w:r w:rsidRPr="005868EB">
        <w:rPr>
          <w:rFonts w:ascii="Times New Roman" w:eastAsia="Times New Roman" w:hAnsi="Times New Roman" w:cs="Times New Roman"/>
          <w:color w:val="0E101A"/>
          <w:sz w:val="24"/>
          <w:szCs w:val="24"/>
          <w:lang w:eastAsia="en-GB"/>
        </w:rPr>
        <w:t xml:space="preserve"> Polarization and strain hysteresis loops of poled NBT-6BT (</w:t>
      </w:r>
      <w:r>
        <w:rPr>
          <w:rFonts w:ascii="Times New Roman" w:eastAsia="Times New Roman" w:hAnsi="Times New Roman" w:cs="Times New Roman"/>
          <w:color w:val="0E101A"/>
          <w:sz w:val="24"/>
          <w:szCs w:val="24"/>
          <w:lang w:eastAsia="en-GB"/>
        </w:rPr>
        <w:t>top</w:t>
      </w:r>
      <w:r w:rsidRPr="005868EB">
        <w:rPr>
          <w:rFonts w:ascii="Times New Roman" w:eastAsia="Times New Roman" w:hAnsi="Times New Roman" w:cs="Times New Roman"/>
          <w:color w:val="0E101A"/>
          <w:sz w:val="24"/>
          <w:szCs w:val="24"/>
          <w:lang w:eastAsia="en-GB"/>
        </w:rPr>
        <w:t>) and NBT-6BT-0.5Mg (</w:t>
      </w:r>
      <w:r>
        <w:rPr>
          <w:rFonts w:ascii="Times New Roman" w:eastAsia="Times New Roman" w:hAnsi="Times New Roman" w:cs="Times New Roman"/>
          <w:color w:val="0E101A"/>
          <w:sz w:val="24"/>
          <w:szCs w:val="24"/>
          <w:lang w:eastAsia="en-GB"/>
        </w:rPr>
        <w:t>bottom</w:t>
      </w:r>
      <w:r w:rsidRPr="005868EB">
        <w:rPr>
          <w:rFonts w:ascii="Times New Roman" w:eastAsia="Times New Roman" w:hAnsi="Times New Roman" w:cs="Times New Roman"/>
          <w:color w:val="0E101A"/>
          <w:sz w:val="24"/>
          <w:szCs w:val="24"/>
          <w:lang w:eastAsia="en-GB"/>
        </w:rPr>
        <w:t>) in temperature at 1Hz.</w:t>
      </w:r>
      <w:r>
        <w:rPr>
          <w:rFonts w:ascii="Times New Roman" w:eastAsia="Times New Roman" w:hAnsi="Times New Roman" w:cs="Times New Roman"/>
          <w:color w:val="0E101A"/>
          <w:sz w:val="24"/>
          <w:szCs w:val="24"/>
          <w:lang w:eastAsia="en-GB"/>
        </w:rPr>
        <w:t xml:space="preserve"> Due to conductivity of NBT-6BT-0.5Mg, the polarization loops could only be recorded at maximum temperature of 75 °C.</w:t>
      </w:r>
    </w:p>
    <w:p w14:paraId="1D7A4C4E" w14:textId="77777777" w:rsidR="00083E01" w:rsidRDefault="00083E01" w:rsidP="00083E01">
      <w:pPr>
        <w:spacing w:line="48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eastAsia="en-GB"/>
        </w:rPr>
      </w:pPr>
    </w:p>
    <w:p w14:paraId="77CE0B59" w14:textId="77777777" w:rsidR="00083E01" w:rsidRDefault="00083E01" w:rsidP="00083E01">
      <w:pPr>
        <w:spacing w:line="48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eastAsia="en-GB"/>
        </w:rPr>
      </w:pPr>
    </w:p>
    <w:p w14:paraId="36964C52" w14:textId="77777777" w:rsidR="00000000" w:rsidRDefault="00083E01" w:rsidP="00083E01">
      <w:pPr>
        <w:jc w:val="center"/>
      </w:pPr>
      <w:r>
        <w:rPr>
          <w:rFonts w:ascii="Georgia Pro" w:hAnsi="Georgia Pro" w:cs="Times New Roman"/>
          <w:noProof/>
          <w:sz w:val="20"/>
          <w:szCs w:val="20"/>
        </w:rPr>
        <w:lastRenderedPageBreak/>
        <w:drawing>
          <wp:inline distT="0" distB="0" distL="0" distR="0" wp14:anchorId="12F44FB3" wp14:editId="41A25022">
            <wp:extent cx="3239770" cy="2609215"/>
            <wp:effectExtent l="0" t="0" r="0" b="635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AAA59" w14:textId="77777777" w:rsidR="00083E01" w:rsidRDefault="00083E01" w:rsidP="00083E01">
      <w:pPr>
        <w:spacing w:line="48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eastAsia="en-GB"/>
        </w:rPr>
      </w:pPr>
      <w:r w:rsidRPr="00083E01">
        <w:rPr>
          <w:rFonts w:ascii="Times New Roman" w:eastAsia="Times New Roman" w:hAnsi="Times New Roman" w:cs="Times New Roman"/>
          <w:b/>
          <w:color w:val="0E101A"/>
          <w:sz w:val="24"/>
          <w:szCs w:val="24"/>
          <w:lang w:eastAsia="en-GB"/>
        </w:rPr>
        <w:t xml:space="preserve">Fig. S3. </w:t>
      </w:r>
      <w:r w:rsidRPr="00083E01">
        <w:rPr>
          <w:rFonts w:ascii="Times New Roman" w:eastAsia="Times New Roman" w:hAnsi="Times New Roman" w:cs="Times New Roman"/>
          <w:color w:val="0E101A"/>
          <w:sz w:val="24"/>
          <w:szCs w:val="24"/>
          <w:lang w:eastAsia="en-GB"/>
        </w:rPr>
        <w:t>Mechanical quality factor (</w:t>
      </w:r>
      <m:oMath>
        <m:sSubSup>
          <m:sSubSupPr>
            <m:ctrlPr>
              <w:rPr>
                <w:rFonts w:ascii="Cambria Math" w:eastAsia="Times New Roman" w:hAnsi="Cambria Math" w:cs="Times New Roman"/>
                <w:color w:val="0E101A"/>
                <w:sz w:val="24"/>
                <w:szCs w:val="24"/>
                <w:lang w:eastAsia="en-GB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E101A"/>
                <w:sz w:val="24"/>
                <w:szCs w:val="24"/>
                <w:lang w:eastAsia="en-GB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E101A"/>
                <w:sz w:val="24"/>
                <w:szCs w:val="24"/>
                <w:lang w:eastAsia="en-GB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E101A"/>
                <w:sz w:val="24"/>
                <w:szCs w:val="24"/>
                <w:lang w:eastAsia="en-GB"/>
              </w:rPr>
              <m:t>31</m:t>
            </m:r>
          </m:sup>
        </m:sSubSup>
      </m:oMath>
      <w:r>
        <w:rPr>
          <w:rFonts w:ascii="Times New Roman" w:eastAsia="Times New Roman" w:hAnsi="Times New Roman" w:cs="Times New Roman"/>
          <w:color w:val="0E101A"/>
          <w:sz w:val="24"/>
          <w:szCs w:val="24"/>
          <w:lang w:eastAsia="en-GB"/>
        </w:rPr>
        <w:t>) of NBT-6BT (red) and NBT-6BT-0.5Mg (blue) samples as a function of vibration velocity at room temperature.</w:t>
      </w:r>
    </w:p>
    <w:p w14:paraId="3165F9E4" w14:textId="77777777" w:rsidR="00083E01" w:rsidRDefault="00083E01" w:rsidP="00083E01">
      <w:pPr>
        <w:spacing w:line="480" w:lineRule="auto"/>
        <w:jc w:val="center"/>
        <w:rPr>
          <w:rFonts w:ascii="Times New Roman" w:eastAsia="Times New Roman" w:hAnsi="Times New Roman" w:cs="Times New Roman"/>
          <w:color w:val="0E101A"/>
          <w:sz w:val="24"/>
          <w:szCs w:val="24"/>
          <w:lang w:eastAsia="en-GB"/>
        </w:rPr>
      </w:pPr>
      <w:r w:rsidRPr="00294614">
        <w:rPr>
          <w:noProof/>
        </w:rPr>
        <w:drawing>
          <wp:inline distT="0" distB="0" distL="0" distR="0" wp14:anchorId="0AE8F47B" wp14:editId="25F7DB24">
            <wp:extent cx="3238500" cy="4145280"/>
            <wp:effectExtent l="0" t="0" r="0" b="7620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3500" cy="41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6656" w14:textId="77777777" w:rsidR="00083E01" w:rsidRDefault="00083E01" w:rsidP="00083E0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7AA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5967AA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967AA">
        <w:rPr>
          <w:rFonts w:ascii="Times New Roman" w:hAnsi="Times New Roman" w:cs="Times New Roman"/>
          <w:b/>
          <w:sz w:val="24"/>
          <w:szCs w:val="24"/>
        </w:rPr>
        <w:t>.</w:t>
      </w:r>
      <w:r w:rsidRPr="005967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(a) Piezoelectric coefficient (d</w:t>
      </w:r>
      <w:r w:rsidRPr="00B4208F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>
        <w:rPr>
          <w:rFonts w:ascii="Times New Roman" w:hAnsi="Times New Roman" w:cs="Times New Roman"/>
          <w:sz w:val="24"/>
          <w:szCs w:val="24"/>
        </w:rPr>
        <w:t>) and (b) coupling coefficient (k</w:t>
      </w:r>
      <w:r w:rsidRPr="00B4208F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) of </w:t>
      </w:r>
      <w:r w:rsidRPr="009D791A">
        <w:rPr>
          <w:rFonts w:ascii="Times New Roman" w:hAnsi="Times New Roman" w:cs="Times New Roman"/>
          <w:sz w:val="24"/>
          <w:szCs w:val="24"/>
        </w:rPr>
        <w:t>NBT-6BT-0.5Mg</w:t>
      </w:r>
      <w:r>
        <w:rPr>
          <w:rFonts w:ascii="Times New Roman" w:hAnsi="Times New Roman" w:cs="Times New Roman"/>
          <w:sz w:val="24"/>
          <w:szCs w:val="24"/>
        </w:rPr>
        <w:t xml:space="preserve"> as</w:t>
      </w:r>
      <w:r w:rsidRPr="009D791A">
        <w:rPr>
          <w:rFonts w:ascii="Times New Roman" w:hAnsi="Times New Roman" w:cs="Times New Roman"/>
          <w:sz w:val="24"/>
          <w:szCs w:val="24"/>
        </w:rPr>
        <w:t xml:space="preserve"> function of vibration velocity in temperature.</w:t>
      </w:r>
    </w:p>
    <w:p w14:paraId="4BD2C829" w14:textId="77777777" w:rsidR="00083E01" w:rsidRPr="00AB3327" w:rsidRDefault="00083E01" w:rsidP="00083E01">
      <w:pPr>
        <w:pStyle w:val="Beschriftung"/>
        <w:keepNext/>
        <w:spacing w:line="480" w:lineRule="auto"/>
        <w:rPr>
          <w:rFonts w:cs="Times New Roman"/>
          <w:sz w:val="24"/>
          <w:szCs w:val="24"/>
        </w:rPr>
      </w:pPr>
      <w:r w:rsidRPr="00AB3327">
        <w:rPr>
          <w:rFonts w:cs="Times New Roman"/>
          <w:b/>
          <w:bCs/>
          <w:sz w:val="24"/>
          <w:szCs w:val="24"/>
        </w:rPr>
        <w:lastRenderedPageBreak/>
        <w:t>Table S</w:t>
      </w:r>
      <w:r w:rsidRPr="00AB3327">
        <w:rPr>
          <w:rFonts w:cs="Times New Roman"/>
          <w:b/>
          <w:bCs/>
          <w:sz w:val="24"/>
          <w:szCs w:val="24"/>
        </w:rPr>
        <w:fldChar w:fldCharType="begin"/>
      </w:r>
      <w:r w:rsidRPr="00AB3327">
        <w:rPr>
          <w:rFonts w:cs="Times New Roman"/>
          <w:b/>
          <w:bCs/>
          <w:sz w:val="24"/>
          <w:szCs w:val="24"/>
        </w:rPr>
        <w:instrText xml:space="preserve"> SEQ Table_S \* ARABIC </w:instrText>
      </w:r>
      <w:r w:rsidRPr="00AB3327">
        <w:rPr>
          <w:rFonts w:cs="Times New Roman"/>
          <w:b/>
          <w:bCs/>
          <w:sz w:val="24"/>
          <w:szCs w:val="24"/>
        </w:rPr>
        <w:fldChar w:fldCharType="separate"/>
      </w:r>
      <w:r w:rsidRPr="00AB3327">
        <w:rPr>
          <w:rFonts w:cs="Times New Roman"/>
          <w:b/>
          <w:bCs/>
          <w:noProof/>
          <w:sz w:val="24"/>
          <w:szCs w:val="24"/>
        </w:rPr>
        <w:t>1</w:t>
      </w:r>
      <w:r w:rsidRPr="00AB3327">
        <w:rPr>
          <w:rFonts w:cs="Times New Roman"/>
          <w:b/>
          <w:bCs/>
          <w:sz w:val="24"/>
          <w:szCs w:val="24"/>
        </w:rPr>
        <w:fldChar w:fldCharType="end"/>
      </w:r>
      <w:r w:rsidRPr="00AB3327">
        <w:rPr>
          <w:rFonts w:cs="Times New Roman"/>
          <w:b/>
          <w:bCs/>
          <w:sz w:val="24"/>
          <w:szCs w:val="24"/>
        </w:rPr>
        <w:t>.</w:t>
      </w:r>
      <w:r w:rsidRPr="00AB3327">
        <w:rPr>
          <w:rFonts w:cs="Times New Roman"/>
          <w:sz w:val="24"/>
          <w:szCs w:val="24"/>
        </w:rPr>
        <w:t xml:space="preserve"> Temperature-dependent structural parameters of NBT-6BT extracted from Rietveld refinements. The errors established with the refinement software are smaller than the last given digit in the table. Rhombohedral and tetragonal distortions are given as 90-α</w:t>
      </w:r>
      <w:proofErr w:type="spellStart"/>
      <w:r w:rsidRPr="00AB3327">
        <w:rPr>
          <w:rFonts w:cs="Times New Roman"/>
          <w:sz w:val="24"/>
          <w:szCs w:val="24"/>
          <w:vertAlign w:val="subscript"/>
        </w:rPr>
        <w:t>rhom</w:t>
      </w:r>
      <w:proofErr w:type="spellEnd"/>
      <w:r w:rsidRPr="00AB3327">
        <w:rPr>
          <w:rFonts w:cs="Times New Roman"/>
          <w:sz w:val="24"/>
          <w:szCs w:val="24"/>
        </w:rPr>
        <w:t xml:space="preserve"> and </w:t>
      </w:r>
      <w:proofErr w:type="spellStart"/>
      <w:r w:rsidRPr="00AB3327">
        <w:rPr>
          <w:rFonts w:cs="Times New Roman"/>
          <w:sz w:val="24"/>
          <w:szCs w:val="24"/>
        </w:rPr>
        <w:t>c</w:t>
      </w:r>
      <w:r w:rsidRPr="00AB3327">
        <w:rPr>
          <w:rFonts w:cs="Times New Roman"/>
          <w:sz w:val="24"/>
          <w:szCs w:val="24"/>
          <w:vertAlign w:val="subscript"/>
        </w:rPr>
        <w:t>tet</w:t>
      </w:r>
      <w:proofErr w:type="spellEnd"/>
      <w:r w:rsidRPr="00AB3327">
        <w:rPr>
          <w:rFonts w:cs="Times New Roman"/>
          <w:sz w:val="24"/>
          <w:szCs w:val="24"/>
        </w:rPr>
        <w:t>/</w:t>
      </w:r>
      <w:proofErr w:type="spellStart"/>
      <w:r w:rsidRPr="00AB3327">
        <w:rPr>
          <w:rFonts w:cs="Times New Roman"/>
          <w:sz w:val="24"/>
          <w:szCs w:val="24"/>
        </w:rPr>
        <w:t>a</w:t>
      </w:r>
      <w:r w:rsidRPr="00AB3327">
        <w:rPr>
          <w:rFonts w:cs="Times New Roman"/>
          <w:sz w:val="24"/>
          <w:szCs w:val="24"/>
          <w:vertAlign w:val="subscript"/>
        </w:rPr>
        <w:t>tet</w:t>
      </w:r>
      <w:proofErr w:type="spellEnd"/>
      <w:r w:rsidRPr="00AB3327">
        <w:rPr>
          <w:rFonts w:cs="Times New Roman"/>
          <w:sz w:val="24"/>
          <w:szCs w:val="24"/>
        </w:rPr>
        <w:t xml:space="preserve"> -1, respectively.</w:t>
      </w:r>
    </w:p>
    <w:p w14:paraId="70559B58" w14:textId="77777777" w:rsidR="00083E01" w:rsidRDefault="00083E01" w:rsidP="00083E01">
      <w:pPr>
        <w:rPr>
          <w:rFonts w:ascii="Times New Roman" w:hAnsi="Times New Roman" w:cs="Times New Roman"/>
          <w:sz w:val="24"/>
          <w:szCs w:val="24"/>
        </w:rPr>
      </w:pPr>
      <w:r w:rsidRPr="00083E01">
        <w:rPr>
          <w:noProof/>
        </w:rPr>
        <w:drawing>
          <wp:inline distT="0" distB="0" distL="0" distR="0" wp14:anchorId="309EC05B" wp14:editId="55463973">
            <wp:extent cx="5731510" cy="2551569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5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55FA1" w14:textId="77777777" w:rsidR="00083E01" w:rsidRPr="00AB3327" w:rsidRDefault="00083E01" w:rsidP="00083E01">
      <w:pPr>
        <w:pStyle w:val="Beschriftung"/>
        <w:keepNext/>
        <w:spacing w:line="480" w:lineRule="auto"/>
        <w:rPr>
          <w:rFonts w:cs="Times New Roman"/>
          <w:sz w:val="24"/>
          <w:szCs w:val="24"/>
        </w:rPr>
      </w:pPr>
      <w:r w:rsidRPr="00AB3327">
        <w:rPr>
          <w:rFonts w:cs="Times New Roman"/>
          <w:b/>
          <w:bCs/>
          <w:sz w:val="24"/>
          <w:szCs w:val="24"/>
        </w:rPr>
        <w:t>Table S</w:t>
      </w:r>
      <w:r w:rsidRPr="00AB3327">
        <w:rPr>
          <w:rFonts w:cs="Times New Roman"/>
          <w:b/>
          <w:bCs/>
          <w:sz w:val="24"/>
          <w:szCs w:val="24"/>
        </w:rPr>
        <w:fldChar w:fldCharType="begin"/>
      </w:r>
      <w:r w:rsidRPr="00AB3327">
        <w:rPr>
          <w:rFonts w:cs="Times New Roman"/>
          <w:b/>
          <w:bCs/>
          <w:sz w:val="24"/>
          <w:szCs w:val="24"/>
        </w:rPr>
        <w:instrText xml:space="preserve"> SEQ Table_S \* ARABIC </w:instrText>
      </w:r>
      <w:r w:rsidRPr="00AB3327">
        <w:rPr>
          <w:rFonts w:cs="Times New Roman"/>
          <w:b/>
          <w:bCs/>
          <w:sz w:val="24"/>
          <w:szCs w:val="24"/>
        </w:rPr>
        <w:fldChar w:fldCharType="separate"/>
      </w:r>
      <w:r w:rsidRPr="00AB3327">
        <w:rPr>
          <w:rFonts w:cs="Times New Roman"/>
          <w:b/>
          <w:bCs/>
          <w:noProof/>
          <w:sz w:val="24"/>
          <w:szCs w:val="24"/>
        </w:rPr>
        <w:t>2</w:t>
      </w:r>
      <w:r w:rsidRPr="00AB3327">
        <w:rPr>
          <w:rFonts w:cs="Times New Roman"/>
          <w:b/>
          <w:bCs/>
          <w:sz w:val="24"/>
          <w:szCs w:val="24"/>
        </w:rPr>
        <w:fldChar w:fldCharType="end"/>
      </w:r>
      <w:r w:rsidRPr="00AB3327">
        <w:rPr>
          <w:rFonts w:cs="Times New Roman"/>
          <w:b/>
          <w:bCs/>
          <w:sz w:val="24"/>
          <w:szCs w:val="24"/>
        </w:rPr>
        <w:t>.</w:t>
      </w:r>
      <w:r w:rsidRPr="00AB3327">
        <w:rPr>
          <w:rFonts w:cs="Times New Roman"/>
          <w:sz w:val="24"/>
          <w:szCs w:val="24"/>
        </w:rPr>
        <w:t xml:space="preserve"> Temperature-dependent structural parameters of NBT-6BT-0.5Mg extracted from Rietveld refinements. The errors established with the refinement software are smaller than the last given digit in the table. Rhombohedral and tetragonal distortions are given as 90-α</w:t>
      </w:r>
      <w:proofErr w:type="spellStart"/>
      <w:r w:rsidRPr="00AB3327">
        <w:rPr>
          <w:rFonts w:cs="Times New Roman"/>
          <w:sz w:val="24"/>
          <w:szCs w:val="24"/>
          <w:vertAlign w:val="subscript"/>
        </w:rPr>
        <w:t>rhom</w:t>
      </w:r>
      <w:proofErr w:type="spellEnd"/>
      <w:r w:rsidRPr="00AB3327">
        <w:rPr>
          <w:rFonts w:cs="Times New Roman"/>
          <w:sz w:val="24"/>
          <w:szCs w:val="24"/>
        </w:rPr>
        <w:t xml:space="preserve"> and </w:t>
      </w:r>
      <w:proofErr w:type="spellStart"/>
      <w:r w:rsidRPr="00AB3327">
        <w:rPr>
          <w:rFonts w:cs="Times New Roman"/>
          <w:sz w:val="24"/>
          <w:szCs w:val="24"/>
        </w:rPr>
        <w:t>c</w:t>
      </w:r>
      <w:r w:rsidRPr="00AB3327">
        <w:rPr>
          <w:rFonts w:cs="Times New Roman"/>
          <w:sz w:val="24"/>
          <w:szCs w:val="24"/>
          <w:vertAlign w:val="subscript"/>
        </w:rPr>
        <w:t>tet</w:t>
      </w:r>
      <w:proofErr w:type="spellEnd"/>
      <w:r w:rsidRPr="00AB3327">
        <w:rPr>
          <w:rFonts w:cs="Times New Roman"/>
          <w:sz w:val="24"/>
          <w:szCs w:val="24"/>
        </w:rPr>
        <w:t>/</w:t>
      </w:r>
      <w:proofErr w:type="spellStart"/>
      <w:r w:rsidRPr="00AB3327">
        <w:rPr>
          <w:rFonts w:cs="Times New Roman"/>
          <w:sz w:val="24"/>
          <w:szCs w:val="24"/>
        </w:rPr>
        <w:t>a</w:t>
      </w:r>
      <w:r w:rsidRPr="00AB3327">
        <w:rPr>
          <w:rFonts w:cs="Times New Roman"/>
          <w:sz w:val="24"/>
          <w:szCs w:val="24"/>
          <w:vertAlign w:val="subscript"/>
        </w:rPr>
        <w:t>tet</w:t>
      </w:r>
      <w:proofErr w:type="spellEnd"/>
      <w:r w:rsidRPr="00AB3327">
        <w:rPr>
          <w:rFonts w:cs="Times New Roman"/>
          <w:sz w:val="24"/>
          <w:szCs w:val="24"/>
        </w:rPr>
        <w:t xml:space="preserve"> -1, respectively.</w:t>
      </w:r>
    </w:p>
    <w:p w14:paraId="5DA26340" w14:textId="77777777" w:rsidR="00083E01" w:rsidRPr="00FC1F14" w:rsidRDefault="00083E01" w:rsidP="00083E01">
      <w:pPr>
        <w:rPr>
          <w:rFonts w:ascii="Times New Roman" w:hAnsi="Times New Roman" w:cs="Times New Roman"/>
          <w:sz w:val="24"/>
          <w:szCs w:val="24"/>
        </w:rPr>
      </w:pPr>
      <w:r w:rsidRPr="00083E01">
        <w:rPr>
          <w:noProof/>
        </w:rPr>
        <w:drawing>
          <wp:inline distT="0" distB="0" distL="0" distR="0" wp14:anchorId="0216DB2E" wp14:editId="41E3247D">
            <wp:extent cx="5731510" cy="25610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67E32" w14:textId="77777777" w:rsidR="00083E01" w:rsidRPr="00083E01" w:rsidRDefault="00083E01" w:rsidP="00083E01">
      <w:pPr>
        <w:spacing w:line="480" w:lineRule="auto"/>
        <w:rPr>
          <w:rFonts w:ascii="Times New Roman" w:eastAsia="Times New Roman" w:hAnsi="Times New Roman" w:cs="Times New Roman"/>
          <w:color w:val="0E101A"/>
          <w:sz w:val="24"/>
          <w:szCs w:val="24"/>
          <w:lang w:eastAsia="en-GB"/>
        </w:rPr>
      </w:pPr>
    </w:p>
    <w:sectPr w:rsidR="00083E01" w:rsidRPr="00083E01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0F146" w14:textId="77777777" w:rsidR="00607969" w:rsidRDefault="00607969" w:rsidP="00083E01">
      <w:pPr>
        <w:spacing w:after="0" w:line="240" w:lineRule="auto"/>
      </w:pPr>
      <w:r>
        <w:separator/>
      </w:r>
    </w:p>
  </w:endnote>
  <w:endnote w:type="continuationSeparator" w:id="0">
    <w:p w14:paraId="4CDDBE8C" w14:textId="77777777" w:rsidR="00607969" w:rsidRDefault="00607969" w:rsidP="00083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97240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A6D84C" w14:textId="77777777" w:rsidR="00083E01" w:rsidRDefault="00083E01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C4BD64" w14:textId="77777777" w:rsidR="00083E01" w:rsidRDefault="00083E0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B3CC1" w14:textId="77777777" w:rsidR="00607969" w:rsidRDefault="00607969" w:rsidP="00083E01">
      <w:pPr>
        <w:spacing w:after="0" w:line="240" w:lineRule="auto"/>
      </w:pPr>
      <w:r>
        <w:separator/>
      </w:r>
    </w:p>
  </w:footnote>
  <w:footnote w:type="continuationSeparator" w:id="0">
    <w:p w14:paraId="629A6655" w14:textId="77777777" w:rsidR="00607969" w:rsidRDefault="00607969" w:rsidP="00083E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E01"/>
    <w:rsid w:val="00083E01"/>
    <w:rsid w:val="003D006C"/>
    <w:rsid w:val="00607969"/>
    <w:rsid w:val="007B09E0"/>
    <w:rsid w:val="00B8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6E3B2"/>
  <w15:chartTrackingRefBased/>
  <w15:docId w15:val="{589F6577-4CE3-4413-9B1E-3B41C9B0D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83E01"/>
    <w:rPr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83E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083E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styleId="Hyperlink">
    <w:name w:val="Hyperlink"/>
    <w:basedOn w:val="Absatz-Standardschriftart"/>
    <w:uiPriority w:val="99"/>
    <w:unhideWhenUsed/>
    <w:rsid w:val="00083E01"/>
    <w:rPr>
      <w:color w:val="0000FF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083E01"/>
    <w:pPr>
      <w:spacing w:after="200" w:line="360" w:lineRule="auto"/>
      <w:jc w:val="both"/>
    </w:pPr>
    <w:rPr>
      <w:rFonts w:ascii="Times New Roman" w:eastAsiaTheme="minorEastAsia" w:hAnsi="Times New Roman" w:cs="Arial"/>
      <w:iCs/>
      <w:color w:val="000000" w:themeColor="text1"/>
      <w:szCs w:val="18"/>
      <w:lang w:val="en-US"/>
    </w:rPr>
  </w:style>
  <w:style w:type="character" w:styleId="Platzhaltertext">
    <w:name w:val="Placeholder Text"/>
    <w:basedOn w:val="Absatz-Standardschriftart"/>
    <w:uiPriority w:val="99"/>
    <w:semiHidden/>
    <w:rsid w:val="00083E01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083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83E01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083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83E01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ngini@ceramics.tu-darmstadt.de" TargetMode="External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266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 Darmstadt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Cangini</dc:creator>
  <cp:keywords/>
  <dc:description/>
  <cp:lastModifiedBy>ng10luke</cp:lastModifiedBy>
  <cp:revision>2</cp:revision>
  <dcterms:created xsi:type="dcterms:W3CDTF">2023-10-23T07:50:00Z</dcterms:created>
  <dcterms:modified xsi:type="dcterms:W3CDTF">2023-10-23T07:50:00Z</dcterms:modified>
</cp:coreProperties>
</file>