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6F66" w14:textId="77777777" w:rsidR="00B2494D" w:rsidRPr="00325284" w:rsidRDefault="00B2494D">
      <w:pPr>
        <w:pStyle w:val="Textkrper"/>
        <w:spacing w:before="6"/>
        <w:rPr>
          <w:sz w:val="17"/>
        </w:rPr>
      </w:pPr>
    </w:p>
    <w:p w14:paraId="4544566D" w14:textId="77777777" w:rsidR="00B2494D" w:rsidRPr="00325284" w:rsidRDefault="00033AEF">
      <w:pPr>
        <w:pStyle w:val="Titel"/>
        <w:spacing w:line="278" w:lineRule="auto"/>
      </w:pPr>
      <w:r w:rsidRPr="00325284">
        <w:t>Effect of Macrocyclization and TAMRA-Labeling on Chemokine Binding Peptides</w:t>
      </w:r>
    </w:p>
    <w:p w14:paraId="69B45A2E" w14:textId="77777777" w:rsidR="00B2494D" w:rsidRPr="00325284" w:rsidRDefault="00DE0169">
      <w:pPr>
        <w:pStyle w:val="Textkrper"/>
        <w:spacing w:line="276" w:lineRule="auto"/>
        <w:ind w:left="116"/>
        <w:rPr>
          <w:lang w:val="de-DE"/>
        </w:rPr>
      </w:pPr>
      <w:r w:rsidRPr="00325284">
        <w:rPr>
          <w:lang w:val="de-DE"/>
        </w:rPr>
        <w:t>Julia Wack</w:t>
      </w:r>
      <w:r w:rsidRPr="00325284">
        <w:rPr>
          <w:vertAlign w:val="superscript"/>
          <w:lang w:val="de-DE"/>
        </w:rPr>
        <w:t>1*</w:t>
      </w:r>
      <w:r>
        <w:rPr>
          <w:vertAlign w:val="superscript"/>
          <w:lang w:val="de-DE"/>
        </w:rPr>
        <w:t xml:space="preserve">, </w:t>
      </w:r>
      <w:r w:rsidR="00033AEF" w:rsidRPr="00325284">
        <w:rPr>
          <w:lang w:val="de-DE"/>
        </w:rPr>
        <w:t>Kevin Brahm</w:t>
      </w:r>
      <w:r w:rsidR="00033AEF" w:rsidRPr="00325284">
        <w:rPr>
          <w:vertAlign w:val="superscript"/>
          <w:lang w:val="de-DE"/>
        </w:rPr>
        <w:t>1*</w:t>
      </w:r>
      <w:r w:rsidR="00033AEF" w:rsidRPr="00325284">
        <w:rPr>
          <w:lang w:val="de-DE"/>
        </w:rPr>
        <w:t>, Philipp Babel</w:t>
      </w:r>
      <w:r w:rsidR="00033AEF" w:rsidRPr="00325284">
        <w:rPr>
          <w:vertAlign w:val="superscript"/>
          <w:lang w:val="de-DE"/>
        </w:rPr>
        <w:t>2</w:t>
      </w:r>
      <w:r>
        <w:rPr>
          <w:vertAlign w:val="superscript"/>
          <w:lang w:val="de-DE"/>
        </w:rPr>
        <w:t>*</w:t>
      </w:r>
      <w:r w:rsidR="00033AEF" w:rsidRPr="00325284">
        <w:rPr>
          <w:lang w:val="de-DE"/>
        </w:rPr>
        <w:t>, James A.R. Dalton</w:t>
      </w:r>
      <w:r w:rsidR="00033AEF" w:rsidRPr="00325284">
        <w:rPr>
          <w:vertAlign w:val="superscript"/>
          <w:lang w:val="de-DE"/>
        </w:rPr>
        <w:t>3</w:t>
      </w:r>
      <w:r w:rsidR="008123C9">
        <w:rPr>
          <w:vertAlign w:val="superscript"/>
          <w:lang w:val="de-DE"/>
        </w:rPr>
        <w:t>,4</w:t>
      </w:r>
      <w:r w:rsidR="00033AEF" w:rsidRPr="00325284">
        <w:rPr>
          <w:lang w:val="de-DE"/>
        </w:rPr>
        <w:t>, Katja Schmitz</w:t>
      </w:r>
      <w:r w:rsidR="00033AEF" w:rsidRPr="00325284">
        <w:rPr>
          <w:vertAlign w:val="superscript"/>
          <w:lang w:val="de-DE"/>
        </w:rPr>
        <w:t>1°</w:t>
      </w:r>
    </w:p>
    <w:p w14:paraId="46F47499" w14:textId="77777777" w:rsidR="00325284" w:rsidRPr="00325284" w:rsidRDefault="00DE0169" w:rsidP="00325284">
      <w:pPr>
        <w:pStyle w:val="MDPI16affiliation"/>
        <w:ind w:left="567" w:hanging="284"/>
        <w:rPr>
          <w:rFonts w:ascii="Times New Roman" w:hAnsi="Times New Roman"/>
        </w:rPr>
      </w:pPr>
      <w:r>
        <w:rPr>
          <w:rFonts w:ascii="Times New Roman" w:hAnsi="Times New Roman"/>
          <w:vertAlign w:val="superscript"/>
        </w:rPr>
        <w:t>1</w:t>
      </w:r>
      <w:r w:rsidRPr="00325284">
        <w:rPr>
          <w:rFonts w:ascii="Times New Roman" w:hAnsi="Times New Roman"/>
        </w:rPr>
        <w:tab/>
      </w:r>
      <w:bookmarkStart w:id="0" w:name="_Hlk121305690"/>
      <w:r w:rsidR="00325284" w:rsidRPr="00325284">
        <w:rPr>
          <w:rFonts w:ascii="Times New Roman" w:hAnsi="Times New Roman"/>
        </w:rPr>
        <w:t>Biological Chemistry, Clemens-</w:t>
      </w:r>
      <w:proofErr w:type="spellStart"/>
      <w:r w:rsidR="00325284" w:rsidRPr="00325284">
        <w:rPr>
          <w:rFonts w:ascii="Times New Roman" w:hAnsi="Times New Roman"/>
        </w:rPr>
        <w:t>Schöpf</w:t>
      </w:r>
      <w:proofErr w:type="spellEnd"/>
      <w:r w:rsidR="00325284" w:rsidRPr="00325284">
        <w:rPr>
          <w:rFonts w:ascii="Times New Roman" w:hAnsi="Times New Roman"/>
        </w:rPr>
        <w:t>-Institute for Organic Chemistry and Biochemistry, Technical University of Darmstadt, Darmstadt, Germany</w:t>
      </w:r>
    </w:p>
    <w:p w14:paraId="2B29DBEA" w14:textId="77777777" w:rsidR="00325284" w:rsidRPr="00325284" w:rsidRDefault="00DE0169" w:rsidP="00325284">
      <w:pPr>
        <w:pStyle w:val="MDPI16affiliation"/>
        <w:ind w:left="567" w:hanging="284"/>
        <w:rPr>
          <w:rFonts w:ascii="Times New Roman" w:hAnsi="Times New Roman"/>
        </w:rPr>
      </w:pPr>
      <w:r w:rsidRPr="00325284">
        <w:rPr>
          <w:rFonts w:ascii="Times New Roman" w:hAnsi="Times New Roman"/>
          <w:vertAlign w:val="superscript"/>
        </w:rPr>
        <w:t>2</w:t>
      </w:r>
      <w:r w:rsidRPr="00325284">
        <w:rPr>
          <w:rFonts w:ascii="Times New Roman" w:hAnsi="Times New Roman"/>
        </w:rPr>
        <w:tab/>
      </w:r>
      <w:r w:rsidR="00325284" w:rsidRPr="00325284">
        <w:rPr>
          <w:rFonts w:ascii="Times New Roman" w:hAnsi="Times New Roman"/>
        </w:rPr>
        <w:t>Computational Biology and Simulation, Technical University of Darmstadt, Darmstadt, Germany</w:t>
      </w:r>
    </w:p>
    <w:p w14:paraId="7FE65AAC" w14:textId="77777777" w:rsidR="00325284" w:rsidRDefault="00325284" w:rsidP="00325284">
      <w:pPr>
        <w:pStyle w:val="MDPI16affiliation"/>
        <w:ind w:left="567" w:hanging="284"/>
        <w:rPr>
          <w:rFonts w:ascii="Times New Roman" w:hAnsi="Times New Roman"/>
        </w:rPr>
      </w:pPr>
      <w:r w:rsidRPr="00325284">
        <w:rPr>
          <w:rFonts w:ascii="Times New Roman" w:hAnsi="Times New Roman"/>
          <w:vertAlign w:val="superscript"/>
        </w:rPr>
        <w:t>3</w:t>
      </w:r>
      <w:r w:rsidRPr="00325284">
        <w:rPr>
          <w:rFonts w:ascii="Times New Roman" w:hAnsi="Times New Roman"/>
        </w:rPr>
        <w:tab/>
        <w:t xml:space="preserve">Laboratory of Molecular Neuropharmacology and Bioinformatics, </w:t>
      </w:r>
      <w:proofErr w:type="spellStart"/>
      <w:r w:rsidR="008123C9" w:rsidRPr="008123C9">
        <w:rPr>
          <w:rFonts w:ascii="Times New Roman" w:hAnsi="Times New Roman"/>
        </w:rPr>
        <w:t>Unitat</w:t>
      </w:r>
      <w:proofErr w:type="spellEnd"/>
      <w:r w:rsidR="008123C9" w:rsidRPr="008123C9">
        <w:rPr>
          <w:rFonts w:ascii="Times New Roman" w:hAnsi="Times New Roman"/>
        </w:rPr>
        <w:t xml:space="preserve"> de </w:t>
      </w:r>
      <w:proofErr w:type="spellStart"/>
      <w:r w:rsidR="008123C9" w:rsidRPr="008123C9">
        <w:rPr>
          <w:rFonts w:ascii="Times New Roman" w:hAnsi="Times New Roman"/>
        </w:rPr>
        <w:t>Bioestadística</w:t>
      </w:r>
      <w:proofErr w:type="spellEnd"/>
      <w:r w:rsidR="008123C9">
        <w:rPr>
          <w:rFonts w:ascii="Times New Roman" w:hAnsi="Times New Roman"/>
        </w:rPr>
        <w:t>,</w:t>
      </w:r>
      <w:r w:rsidR="008123C9" w:rsidRPr="008123C9">
        <w:rPr>
          <w:rFonts w:ascii="Times New Roman" w:hAnsi="Times New Roman"/>
        </w:rPr>
        <w:t xml:space="preserve"> </w:t>
      </w:r>
      <w:proofErr w:type="spellStart"/>
      <w:r w:rsidRPr="00325284">
        <w:rPr>
          <w:rFonts w:ascii="Times New Roman" w:hAnsi="Times New Roman"/>
        </w:rPr>
        <w:t>Institut</w:t>
      </w:r>
      <w:proofErr w:type="spellEnd"/>
      <w:r w:rsidRPr="00325284">
        <w:rPr>
          <w:rFonts w:ascii="Times New Roman" w:hAnsi="Times New Roman"/>
        </w:rPr>
        <w:t xml:space="preserve"> de </w:t>
      </w:r>
      <w:proofErr w:type="spellStart"/>
      <w:r w:rsidRPr="00325284">
        <w:rPr>
          <w:rFonts w:ascii="Times New Roman" w:hAnsi="Times New Roman"/>
        </w:rPr>
        <w:t>Neurociències</w:t>
      </w:r>
      <w:proofErr w:type="spellEnd"/>
      <w:r w:rsidRPr="00325284">
        <w:rPr>
          <w:rFonts w:ascii="Times New Roman" w:hAnsi="Times New Roman"/>
        </w:rPr>
        <w:t xml:space="preserve">, </w:t>
      </w:r>
      <w:proofErr w:type="spellStart"/>
      <w:r w:rsidRPr="00325284">
        <w:rPr>
          <w:rFonts w:ascii="Times New Roman" w:hAnsi="Times New Roman"/>
        </w:rPr>
        <w:t>Universitat</w:t>
      </w:r>
      <w:proofErr w:type="spellEnd"/>
      <w:r w:rsidRPr="00325284">
        <w:rPr>
          <w:rFonts w:ascii="Times New Roman" w:hAnsi="Times New Roman"/>
        </w:rPr>
        <w:t xml:space="preserve"> </w:t>
      </w:r>
      <w:proofErr w:type="spellStart"/>
      <w:r w:rsidRPr="00325284">
        <w:rPr>
          <w:rFonts w:ascii="Times New Roman" w:hAnsi="Times New Roman"/>
        </w:rPr>
        <w:t>Autònoma</w:t>
      </w:r>
      <w:proofErr w:type="spellEnd"/>
      <w:r w:rsidRPr="00325284">
        <w:rPr>
          <w:rFonts w:ascii="Times New Roman" w:hAnsi="Times New Roman"/>
        </w:rPr>
        <w:t xml:space="preserve"> de Barcelona, 08193 </w:t>
      </w:r>
      <w:proofErr w:type="spellStart"/>
      <w:r w:rsidRPr="00325284">
        <w:rPr>
          <w:rFonts w:ascii="Times New Roman" w:hAnsi="Times New Roman"/>
        </w:rPr>
        <w:t>Bellaterra</w:t>
      </w:r>
      <w:proofErr w:type="spellEnd"/>
      <w:r w:rsidRPr="00325284">
        <w:rPr>
          <w:rFonts w:ascii="Times New Roman" w:hAnsi="Times New Roman"/>
        </w:rPr>
        <w:t>, Spain</w:t>
      </w:r>
    </w:p>
    <w:p w14:paraId="4331814E" w14:textId="77777777" w:rsidR="008123C9" w:rsidRPr="00325284" w:rsidRDefault="008123C9" w:rsidP="00325284">
      <w:pPr>
        <w:pStyle w:val="MDPI16affiliation"/>
        <w:ind w:left="567" w:hanging="284"/>
        <w:rPr>
          <w:rFonts w:ascii="Times New Roman" w:hAnsi="Times New Roman"/>
        </w:rPr>
      </w:pPr>
      <w:r>
        <w:rPr>
          <w:rFonts w:ascii="Times New Roman" w:hAnsi="Times New Roman"/>
          <w:vertAlign w:val="superscript"/>
        </w:rPr>
        <w:t>4</w:t>
      </w:r>
      <w:r w:rsidRPr="00325284">
        <w:rPr>
          <w:rFonts w:ascii="Times New Roman" w:hAnsi="Times New Roman"/>
        </w:rPr>
        <w:tab/>
      </w:r>
      <w:r w:rsidRPr="008123C9">
        <w:rPr>
          <w:rFonts w:ascii="Times New Roman" w:hAnsi="Times New Roman"/>
        </w:rPr>
        <w:t>Ronin Institute, Montclair, New Jersey, 07043, USA</w:t>
      </w:r>
    </w:p>
    <w:p w14:paraId="5D3A5AE3" w14:textId="77777777" w:rsidR="00325284" w:rsidRPr="00325284" w:rsidRDefault="00325284" w:rsidP="00325284">
      <w:pPr>
        <w:pStyle w:val="MDPI16affiliation"/>
        <w:ind w:left="567" w:hanging="284"/>
        <w:rPr>
          <w:rFonts w:ascii="Times New Roman" w:hAnsi="Times New Roman"/>
        </w:rPr>
      </w:pPr>
      <w:r w:rsidRPr="00325284">
        <w:rPr>
          <w:rFonts w:ascii="Times New Roman" w:hAnsi="Times New Roman"/>
        </w:rPr>
        <w:t>°</w:t>
      </w:r>
      <w:r w:rsidRPr="00325284">
        <w:rPr>
          <w:rFonts w:ascii="Times New Roman" w:hAnsi="Times New Roman"/>
        </w:rPr>
        <w:tab/>
        <w:t>Contributed equally</w:t>
      </w:r>
    </w:p>
    <w:p w14:paraId="22BD903B" w14:textId="77777777" w:rsidR="00325284" w:rsidRPr="00325284" w:rsidRDefault="00325284" w:rsidP="00325284">
      <w:pPr>
        <w:pStyle w:val="MDPI16affiliation"/>
        <w:ind w:left="567" w:hanging="284"/>
        <w:rPr>
          <w:rFonts w:ascii="Times New Roman" w:hAnsi="Times New Roman"/>
        </w:rPr>
      </w:pPr>
      <w:r w:rsidRPr="00325284">
        <w:rPr>
          <w:rFonts w:ascii="Times New Roman" w:hAnsi="Times New Roman"/>
          <w:b/>
        </w:rPr>
        <w:t>*</w:t>
      </w:r>
      <w:r w:rsidRPr="00325284">
        <w:rPr>
          <w:rFonts w:ascii="Times New Roman" w:hAnsi="Times New Roman"/>
        </w:rPr>
        <w:tab/>
        <w:t>Correspondence: katja.schmitz@tu-darmstadt.de; Tel.: +49-6151-16-21015</w:t>
      </w:r>
    </w:p>
    <w:bookmarkEnd w:id="0"/>
    <w:p w14:paraId="5D52F223" w14:textId="77777777" w:rsidR="00B2494D" w:rsidRPr="00325284" w:rsidRDefault="00B2494D">
      <w:pPr>
        <w:pStyle w:val="Textkrper"/>
        <w:rPr>
          <w:sz w:val="24"/>
        </w:rPr>
      </w:pPr>
    </w:p>
    <w:p w14:paraId="52200639" w14:textId="77777777" w:rsidR="00B2494D" w:rsidRPr="00325284" w:rsidRDefault="00033AEF">
      <w:pPr>
        <w:pStyle w:val="berschrift1"/>
        <w:spacing w:before="185"/>
      </w:pPr>
      <w:r w:rsidRPr="00325284">
        <w:t>Supporting Information</w:t>
      </w:r>
    </w:p>
    <w:p w14:paraId="319BACEC" w14:textId="77777777" w:rsidR="008C0583" w:rsidRDefault="008C0583" w:rsidP="008C0583">
      <w:pPr>
        <w:pStyle w:val="Textkrper"/>
        <w:spacing w:before="5"/>
        <w:rPr>
          <w:b/>
          <w:sz w:val="25"/>
        </w:rPr>
      </w:pPr>
    </w:p>
    <w:p w14:paraId="3C45A902" w14:textId="77777777" w:rsidR="00E37233" w:rsidRDefault="00E37233" w:rsidP="008C0583">
      <w:pPr>
        <w:pStyle w:val="Textkrper"/>
        <w:spacing w:before="5"/>
        <w:rPr>
          <w:b/>
          <w:sz w:val="25"/>
        </w:rPr>
      </w:pPr>
    </w:p>
    <w:p w14:paraId="5771924F" w14:textId="77777777" w:rsidR="007101A7" w:rsidRDefault="007101A7" w:rsidP="007101A7">
      <w:pPr>
        <w:pStyle w:val="Textkrper"/>
        <w:numPr>
          <w:ilvl w:val="0"/>
          <w:numId w:val="2"/>
        </w:numPr>
        <w:spacing w:before="5"/>
        <w:rPr>
          <w:b/>
          <w:sz w:val="25"/>
        </w:rPr>
      </w:pPr>
      <w:r>
        <w:rPr>
          <w:b/>
          <w:sz w:val="25"/>
        </w:rPr>
        <w:t>Content</w:t>
      </w:r>
    </w:p>
    <w:p w14:paraId="3B06BFB5" w14:textId="77777777" w:rsidR="00E37233" w:rsidRDefault="00E37233" w:rsidP="00C76B92">
      <w:pPr>
        <w:pStyle w:val="Textkrper"/>
        <w:spacing w:before="5"/>
      </w:pPr>
    </w:p>
    <w:p w14:paraId="0CF568E2" w14:textId="77777777" w:rsidR="00C76B92" w:rsidRDefault="00C76B92" w:rsidP="00E37233">
      <w:pPr>
        <w:pStyle w:val="Textkrper"/>
        <w:spacing w:before="5" w:after="120"/>
      </w:pPr>
      <w:r w:rsidRPr="007101A7">
        <w:t>Method S</w:t>
      </w:r>
      <w:r>
        <w:t>1</w:t>
      </w:r>
      <w:r w:rsidRPr="007101A7">
        <w:t xml:space="preserve"> – Expression and Purification of CXCL8</w:t>
      </w:r>
    </w:p>
    <w:p w14:paraId="3DC56FAE" w14:textId="77777777" w:rsidR="008C0583" w:rsidRPr="007101A7" w:rsidRDefault="008C0583" w:rsidP="00E37233">
      <w:pPr>
        <w:pStyle w:val="Textkrper"/>
        <w:spacing w:before="5" w:after="120"/>
        <w:ind w:left="709" w:hanging="709"/>
      </w:pPr>
      <w:r w:rsidRPr="007101A7">
        <w:t>Fig S1 - Conformational and protein-protein interaction potential energy (P.E.) changes of CXCR1:CXCL8 complex during MD simulation.</w:t>
      </w:r>
    </w:p>
    <w:p w14:paraId="5A5A4E49" w14:textId="77777777" w:rsidR="007101A7" w:rsidRPr="007101A7" w:rsidRDefault="007101A7" w:rsidP="00E37233">
      <w:pPr>
        <w:pStyle w:val="Textkrper"/>
        <w:spacing w:before="5" w:after="120"/>
        <w:ind w:left="709" w:hanging="709"/>
      </w:pPr>
      <w:r w:rsidRPr="007101A7">
        <w:t>Method S</w:t>
      </w:r>
      <w:r w:rsidR="00C76B92">
        <w:t>2</w:t>
      </w:r>
      <w:r w:rsidRPr="007101A7">
        <w:t xml:space="preserve"> – Absorption measurement</w:t>
      </w:r>
      <w:r w:rsidR="00C76B92">
        <w:t>s</w:t>
      </w:r>
    </w:p>
    <w:p w14:paraId="557A2BD2" w14:textId="77777777" w:rsidR="00BC3464" w:rsidRPr="007101A7" w:rsidRDefault="00BC3464" w:rsidP="00E37233">
      <w:pPr>
        <w:pStyle w:val="Textkrper"/>
        <w:spacing w:before="5" w:after="120"/>
        <w:ind w:left="709" w:hanging="709"/>
      </w:pPr>
      <w:r w:rsidRPr="007101A7">
        <w:t>Fig S</w:t>
      </w:r>
      <w:r w:rsidR="00C57F9A" w:rsidRPr="007101A7">
        <w:t>2</w:t>
      </w:r>
      <w:r w:rsidRPr="007101A7">
        <w:t xml:space="preserve"> – </w:t>
      </w:r>
      <w:r w:rsidR="00C57F9A" w:rsidRPr="007101A7">
        <w:t xml:space="preserve">Absorption changes due to interaction of </w:t>
      </w:r>
      <w:proofErr w:type="spellStart"/>
      <w:r w:rsidR="00C57F9A" w:rsidRPr="007101A7">
        <w:t>Tmr-</w:t>
      </w:r>
      <w:r w:rsidR="00DE0169">
        <w:t>L</w:t>
      </w:r>
      <w:r w:rsidR="00C57F9A" w:rsidRPr="007101A7">
        <w:t>in</w:t>
      </w:r>
      <w:r w:rsidR="00DE0169">
        <w:t>l</w:t>
      </w:r>
      <w:r w:rsidR="00C57F9A" w:rsidRPr="007101A7">
        <w:t>oops</w:t>
      </w:r>
      <w:proofErr w:type="spellEnd"/>
      <w:r w:rsidR="00C57F9A" w:rsidRPr="007101A7">
        <w:t xml:space="preserve"> peptides with CXCL8</w:t>
      </w:r>
    </w:p>
    <w:p w14:paraId="4AF0074E" w14:textId="77777777" w:rsidR="008C0583" w:rsidRPr="007101A7" w:rsidRDefault="008C0583" w:rsidP="00E37233">
      <w:pPr>
        <w:pStyle w:val="Textkrper"/>
        <w:spacing w:before="5" w:after="120"/>
        <w:ind w:left="709" w:hanging="709"/>
      </w:pPr>
      <w:r w:rsidRPr="007101A7">
        <w:t xml:space="preserve">Fig </w:t>
      </w:r>
      <w:r w:rsidR="00C57F9A" w:rsidRPr="007101A7">
        <w:t>S3</w:t>
      </w:r>
      <w:r w:rsidRPr="007101A7">
        <w:t xml:space="preserve"> - Distance of center of mass (com) of TAMRA label and com of each individual amino acid of the linear IL8Rp-Loops peptides.</w:t>
      </w:r>
    </w:p>
    <w:p w14:paraId="75552A60" w14:textId="77777777" w:rsidR="008C0583" w:rsidRPr="007101A7" w:rsidRDefault="008C0583" w:rsidP="00E37233">
      <w:pPr>
        <w:pStyle w:val="Textkrper"/>
        <w:spacing w:before="5" w:after="120"/>
        <w:ind w:left="709" w:hanging="709"/>
      </w:pPr>
      <w:r w:rsidRPr="007101A7">
        <w:t>Fig S</w:t>
      </w:r>
      <w:r w:rsidR="00C57F9A" w:rsidRPr="007101A7">
        <w:t>4</w:t>
      </w:r>
      <w:r w:rsidRPr="007101A7">
        <w:t xml:space="preserve"> - Evaluation of RMSD for all peptides. </w:t>
      </w:r>
    </w:p>
    <w:p w14:paraId="5F47AC6B" w14:textId="77777777" w:rsidR="007101A7" w:rsidRDefault="007101A7" w:rsidP="00E37233">
      <w:pPr>
        <w:pStyle w:val="Textkrper"/>
        <w:spacing w:before="5" w:after="120"/>
      </w:pPr>
    </w:p>
    <w:p w14:paraId="5BAE7556" w14:textId="77777777" w:rsidR="007101A7" w:rsidRPr="007101A7" w:rsidRDefault="007101A7">
      <w:pPr>
        <w:pStyle w:val="Textkrper"/>
        <w:spacing w:before="5"/>
      </w:pPr>
    </w:p>
    <w:p w14:paraId="4ED856BB" w14:textId="77777777" w:rsidR="00E37233" w:rsidRDefault="00E37233">
      <w:pPr>
        <w:rPr>
          <w:b/>
          <w:bCs/>
          <w:sz w:val="24"/>
          <w:szCs w:val="24"/>
        </w:rPr>
      </w:pPr>
      <w:r>
        <w:br w:type="page"/>
      </w:r>
    </w:p>
    <w:p w14:paraId="5C8432C0" w14:textId="77777777" w:rsidR="00C76B92" w:rsidRPr="00325284" w:rsidRDefault="00C76B92" w:rsidP="00C76B92">
      <w:pPr>
        <w:pStyle w:val="berschrift1"/>
        <w:jc w:val="both"/>
      </w:pPr>
      <w:r>
        <w:lastRenderedPageBreak/>
        <w:t xml:space="preserve">Method S1 - </w:t>
      </w:r>
      <w:r w:rsidRPr="00325284">
        <w:t>Expression and Purification of CXCL8</w:t>
      </w:r>
    </w:p>
    <w:p w14:paraId="569BE264" w14:textId="77777777" w:rsidR="00C76B92" w:rsidRPr="00325284" w:rsidRDefault="00C76B92" w:rsidP="00C76B92">
      <w:pPr>
        <w:pStyle w:val="Textkrper"/>
        <w:spacing w:before="36" w:line="276" w:lineRule="auto"/>
        <w:ind w:left="116" w:right="110"/>
        <w:jc w:val="both"/>
      </w:pPr>
      <w:r w:rsidRPr="00325284">
        <w:rPr>
          <w:i/>
        </w:rPr>
        <w:t xml:space="preserve">E. coli </w:t>
      </w:r>
      <w:r w:rsidRPr="00325284">
        <w:t>BL21 DE3 RIL was transformed with a pET-22b vector, which incorporates the codon- optimized sequence for human CXCL8 (72 aa form). The protein expression was conducted according to an optimized protocol by Wiese and Schmitz.</w:t>
      </w:r>
      <w:r w:rsidRPr="00325284">
        <w:rPr>
          <w:vertAlign w:val="superscript"/>
        </w:rPr>
        <w:t>16</w:t>
      </w:r>
      <w:r w:rsidRPr="00325284">
        <w:t xml:space="preserve"> In brief, 400 mL of LB-medium containing 60 µg mL</w:t>
      </w:r>
      <w:r w:rsidRPr="00325284">
        <w:rPr>
          <w:vertAlign w:val="superscript"/>
        </w:rPr>
        <w:t>-1</w:t>
      </w:r>
      <w:r w:rsidRPr="00325284">
        <w:t xml:space="preserve"> of ampicillin were inoculated with 20 mL of an overnight culture of transformed </w:t>
      </w:r>
      <w:r w:rsidRPr="00325284">
        <w:rPr>
          <w:i/>
        </w:rPr>
        <w:t xml:space="preserve">E. coli </w:t>
      </w:r>
      <w:r w:rsidRPr="00325284">
        <w:t>in LB/ampicillin medium and incubated at 200 rpm and 37 °C until a final OD</w:t>
      </w:r>
      <w:r w:rsidRPr="00325284">
        <w:rPr>
          <w:vertAlign w:val="subscript"/>
        </w:rPr>
        <w:t>600</w:t>
      </w:r>
      <w:r w:rsidRPr="00325284">
        <w:t xml:space="preserve"> of 0.8 to 1.0 was reached. Expression was induced by adding IPTG to a final concentration of 0.1 mM and carried out for 3 h at 160 rpm and 30 °C. The cell suspension was centrifuged at 4 °C and 5000 x g for 45 min and the supernatant was discarded. After resuspending the pellet in 10 mL of lysis buffer (1 mM EDTA, 0,2 </w:t>
      </w:r>
      <w:r w:rsidRPr="00325284">
        <w:rPr>
          <w:spacing w:val="-2"/>
        </w:rPr>
        <w:t>m</w:t>
      </w:r>
      <w:r w:rsidRPr="00325284">
        <w:t>g</w:t>
      </w:r>
      <w:r w:rsidRPr="00325284">
        <w:rPr>
          <w:spacing w:val="21"/>
        </w:rPr>
        <w:t xml:space="preserve"> </w:t>
      </w:r>
      <w:r w:rsidRPr="00325284">
        <w:rPr>
          <w:spacing w:val="-4"/>
        </w:rPr>
        <w:t>m</w:t>
      </w:r>
      <w:r w:rsidRPr="00325284">
        <w:rPr>
          <w:spacing w:val="1"/>
        </w:rPr>
        <w:t>L</w:t>
      </w:r>
      <w:r w:rsidRPr="00325284">
        <w:rPr>
          <w:spacing w:val="-1"/>
          <w:w w:val="102"/>
          <w:vertAlign w:val="superscript"/>
        </w:rPr>
        <w:t>-</w:t>
      </w:r>
      <w:r w:rsidRPr="00325284">
        <w:rPr>
          <w:w w:val="102"/>
          <w:vertAlign w:val="superscript"/>
        </w:rPr>
        <w:t>1</w:t>
      </w:r>
      <w:r w:rsidRPr="00325284">
        <w:rPr>
          <w:spacing w:val="7"/>
        </w:rPr>
        <w:t xml:space="preserve"> </w:t>
      </w:r>
      <w:r w:rsidRPr="00325284">
        <w:t>l</w:t>
      </w:r>
      <w:r w:rsidRPr="00325284">
        <w:rPr>
          <w:spacing w:val="-3"/>
        </w:rPr>
        <w:t>y</w:t>
      </w:r>
      <w:r w:rsidRPr="00325284">
        <w:rPr>
          <w:spacing w:val="-1"/>
        </w:rPr>
        <w:t>so</w:t>
      </w:r>
      <w:r w:rsidRPr="00325284">
        <w:t>zy</w:t>
      </w:r>
      <w:r w:rsidRPr="00325284">
        <w:rPr>
          <w:spacing w:val="-4"/>
        </w:rPr>
        <w:t>m</w:t>
      </w:r>
      <w:r w:rsidRPr="00325284">
        <w:t>e,</w:t>
      </w:r>
      <w:r w:rsidRPr="00325284">
        <w:rPr>
          <w:spacing w:val="21"/>
        </w:rPr>
        <w:t xml:space="preserve"> </w:t>
      </w:r>
      <w:r w:rsidRPr="00325284">
        <w:t>0,1</w:t>
      </w:r>
      <w:r w:rsidRPr="00325284">
        <w:rPr>
          <w:spacing w:val="26"/>
        </w:rPr>
        <w:t xml:space="preserve"> </w:t>
      </w:r>
      <w:r w:rsidRPr="00325284">
        <w:rPr>
          <w:spacing w:val="-4"/>
        </w:rPr>
        <w:t>m</w:t>
      </w:r>
      <w:r w:rsidRPr="00325284">
        <w:t>g</w:t>
      </w:r>
      <w:r w:rsidRPr="00325284">
        <w:rPr>
          <w:spacing w:val="24"/>
        </w:rPr>
        <w:t xml:space="preserve"> </w:t>
      </w:r>
      <w:r w:rsidRPr="00325284">
        <w:rPr>
          <w:spacing w:val="-4"/>
        </w:rPr>
        <w:t>m</w:t>
      </w:r>
      <w:r w:rsidRPr="00325284">
        <w:rPr>
          <w:spacing w:val="1"/>
        </w:rPr>
        <w:t>L</w:t>
      </w:r>
      <w:r w:rsidRPr="00325284">
        <w:rPr>
          <w:spacing w:val="1"/>
          <w:w w:val="102"/>
          <w:vertAlign w:val="superscript"/>
        </w:rPr>
        <w:t>-</w:t>
      </w:r>
      <w:r w:rsidRPr="00325284">
        <w:rPr>
          <w:w w:val="102"/>
          <w:vertAlign w:val="superscript"/>
        </w:rPr>
        <w:t>1</w:t>
      </w:r>
      <w:r w:rsidRPr="00325284">
        <w:rPr>
          <w:spacing w:val="7"/>
        </w:rPr>
        <w:t xml:space="preserve"> </w:t>
      </w:r>
      <w:r w:rsidRPr="00325284">
        <w:rPr>
          <w:spacing w:val="-2"/>
        </w:rPr>
        <w:t>DN</w:t>
      </w:r>
      <w:r w:rsidRPr="00325284">
        <w:t>ase</w:t>
      </w:r>
      <w:r w:rsidRPr="00325284">
        <w:rPr>
          <w:spacing w:val="24"/>
        </w:rPr>
        <w:t xml:space="preserve"> </w:t>
      </w:r>
      <w:r w:rsidRPr="00325284">
        <w:rPr>
          <w:spacing w:val="-4"/>
        </w:rPr>
        <w:t>I</w:t>
      </w:r>
      <w:r w:rsidRPr="00325284">
        <w:t>,</w:t>
      </w:r>
      <w:r w:rsidRPr="00325284">
        <w:rPr>
          <w:spacing w:val="21"/>
        </w:rPr>
        <w:t xml:space="preserve"> </w:t>
      </w:r>
      <w:r w:rsidRPr="00325284">
        <w:t>¼</w:t>
      </w:r>
      <w:r w:rsidRPr="00325284">
        <w:rPr>
          <w:spacing w:val="21"/>
        </w:rPr>
        <w:t xml:space="preserve"> </w:t>
      </w:r>
      <w:r w:rsidRPr="00325284">
        <w:t>protea</w:t>
      </w:r>
      <w:r w:rsidRPr="00325284">
        <w:rPr>
          <w:spacing w:val="-1"/>
        </w:rPr>
        <w:t>s</w:t>
      </w:r>
      <w:r w:rsidRPr="00325284">
        <w:t>e</w:t>
      </w:r>
      <w:r w:rsidRPr="00325284">
        <w:rPr>
          <w:spacing w:val="19"/>
        </w:rPr>
        <w:t xml:space="preserve"> </w:t>
      </w:r>
      <w:r w:rsidRPr="00325284">
        <w:t>inh</w:t>
      </w:r>
      <w:r w:rsidRPr="00325284">
        <w:rPr>
          <w:spacing w:val="-2"/>
        </w:rPr>
        <w:t>i</w:t>
      </w:r>
      <w:r w:rsidRPr="00325284">
        <w:t>b</w:t>
      </w:r>
      <w:r w:rsidRPr="00325284">
        <w:rPr>
          <w:spacing w:val="-2"/>
        </w:rPr>
        <w:t>i</w:t>
      </w:r>
      <w:r w:rsidRPr="00325284">
        <w:t>tor</w:t>
      </w:r>
      <w:r w:rsidRPr="00325284">
        <w:rPr>
          <w:spacing w:val="22"/>
        </w:rPr>
        <w:t xml:space="preserve"> </w:t>
      </w:r>
      <w:r w:rsidRPr="00325284">
        <w:rPr>
          <w:spacing w:val="-2"/>
        </w:rPr>
        <w:t>t</w:t>
      </w:r>
      <w:r w:rsidRPr="00325284">
        <w:t>ab</w:t>
      </w:r>
      <w:r w:rsidRPr="00325284">
        <w:rPr>
          <w:spacing w:val="-2"/>
        </w:rPr>
        <w:t>l</w:t>
      </w:r>
      <w:r w:rsidRPr="00325284">
        <w:t>et</w:t>
      </w:r>
      <w:r w:rsidRPr="00325284">
        <w:rPr>
          <w:spacing w:val="20"/>
        </w:rPr>
        <w:t xml:space="preserve"> </w:t>
      </w:r>
      <w:r w:rsidRPr="00325284">
        <w:t>(</w:t>
      </w:r>
      <w:proofErr w:type="spellStart"/>
      <w:proofErr w:type="gramStart"/>
      <w:r w:rsidRPr="00325284">
        <w:t>cO</w:t>
      </w:r>
      <w:r w:rsidRPr="00325284">
        <w:rPr>
          <w:spacing w:val="-2"/>
        </w:rPr>
        <w:t>m</w:t>
      </w:r>
      <w:r w:rsidRPr="00325284">
        <w:t>pl</w:t>
      </w:r>
      <w:r w:rsidRPr="00325284">
        <w:rPr>
          <w:spacing w:val="-2"/>
        </w:rPr>
        <w:t>e</w:t>
      </w:r>
      <w:r w:rsidRPr="00325284">
        <w:t>t</w:t>
      </w:r>
      <w:r w:rsidRPr="00325284">
        <w:rPr>
          <w:spacing w:val="4"/>
        </w:rPr>
        <w:t>e</w:t>
      </w:r>
      <w:proofErr w:type="spellEnd"/>
      <w:r w:rsidRPr="00325284">
        <w:rPr>
          <w:position w:val="7"/>
          <w:sz w:val="10"/>
        </w:rPr>
        <w:t xml:space="preserve">TM </w:t>
      </w:r>
      <w:r w:rsidRPr="00325284">
        <w:rPr>
          <w:spacing w:val="9"/>
          <w:position w:val="7"/>
          <w:sz w:val="10"/>
        </w:rPr>
        <w:t xml:space="preserve"> </w:t>
      </w:r>
      <w:r w:rsidRPr="00325284">
        <w:rPr>
          <w:spacing w:val="-1"/>
        </w:rPr>
        <w:t>M</w:t>
      </w:r>
      <w:r w:rsidRPr="00325284">
        <w:rPr>
          <w:spacing w:val="1"/>
        </w:rPr>
        <w:t>i</w:t>
      </w:r>
      <w:r w:rsidRPr="00325284">
        <w:rPr>
          <w:spacing w:val="-3"/>
        </w:rPr>
        <w:t>n</w:t>
      </w:r>
      <w:r w:rsidRPr="00325284">
        <w:t>i</w:t>
      </w:r>
      <w:proofErr w:type="gramEnd"/>
      <w:r w:rsidRPr="00325284">
        <w:t>,</w:t>
      </w:r>
      <w:r w:rsidRPr="00325284">
        <w:rPr>
          <w:spacing w:val="21"/>
        </w:rPr>
        <w:t xml:space="preserve"> </w:t>
      </w:r>
      <w:r w:rsidRPr="00325284">
        <w:rPr>
          <w:spacing w:val="-1"/>
        </w:rPr>
        <w:t>R</w:t>
      </w:r>
      <w:r w:rsidRPr="00325284">
        <w:t>oc</w:t>
      </w:r>
      <w:r w:rsidRPr="00325284">
        <w:rPr>
          <w:spacing w:val="-2"/>
        </w:rPr>
        <w:t>h</w:t>
      </w:r>
      <w:r w:rsidRPr="00325284">
        <w:t>e</w:t>
      </w:r>
      <w:r w:rsidRPr="00325284">
        <w:rPr>
          <w:spacing w:val="-2"/>
        </w:rPr>
        <w:t>)</w:t>
      </w:r>
      <w:r w:rsidRPr="00325284">
        <w:t>, 40 mM Na</w:t>
      </w:r>
      <w:r w:rsidRPr="00325284">
        <w:rPr>
          <w:vertAlign w:val="subscript"/>
        </w:rPr>
        <w:t>2</w:t>
      </w:r>
      <w:r w:rsidRPr="00325284">
        <w:t>HPO</w:t>
      </w:r>
      <w:r w:rsidRPr="00325284">
        <w:rPr>
          <w:vertAlign w:val="subscript"/>
        </w:rPr>
        <w:t>4</w:t>
      </w:r>
      <w:r w:rsidRPr="00325284">
        <w:t xml:space="preserve">, 90 mM NaCl, pH 7.4) it was incubated on ice for 1.5 h with mixing by inversion at regular intervals. 50 µL of Triton X-100 were added and the suspension was </w:t>
      </w:r>
      <w:proofErr w:type="spellStart"/>
      <w:r w:rsidRPr="00325284">
        <w:t>sonified</w:t>
      </w:r>
      <w:proofErr w:type="spellEnd"/>
      <w:r w:rsidRPr="00325284">
        <w:t xml:space="preserve"> three times for 30 s at 30 % intensity (</w:t>
      </w:r>
      <w:proofErr w:type="spellStart"/>
      <w:r w:rsidRPr="00325284">
        <w:t>Sonopuls</w:t>
      </w:r>
      <w:proofErr w:type="spellEnd"/>
      <w:r w:rsidRPr="00325284">
        <w:t xml:space="preserve">, </w:t>
      </w:r>
      <w:proofErr w:type="spellStart"/>
      <w:r w:rsidRPr="00325284">
        <w:t>Bandelin</w:t>
      </w:r>
      <w:proofErr w:type="spellEnd"/>
      <w:r w:rsidRPr="00325284">
        <w:t xml:space="preserve"> Electronics). 100 µL of 0.1 mg mL</w:t>
      </w:r>
      <w:r w:rsidRPr="00325284">
        <w:rPr>
          <w:vertAlign w:val="superscript"/>
        </w:rPr>
        <w:t>-1</w:t>
      </w:r>
      <w:r w:rsidRPr="00325284">
        <w:t xml:space="preserve"> DNase I were added and the lysate was incubated for 30 min at room temperature. The lysate was heated for 10 min in a   70 °C water bath to precipitate undesired </w:t>
      </w:r>
      <w:r w:rsidRPr="00325284">
        <w:rPr>
          <w:i/>
        </w:rPr>
        <w:t xml:space="preserve">E. coli </w:t>
      </w:r>
      <w:r w:rsidRPr="00325284">
        <w:t>proteins and centrifuged at 4 °C and 5000 x g for    45 min. The pellet was discarded and the supernatant was filtered for further</w:t>
      </w:r>
      <w:r w:rsidRPr="00325284">
        <w:rPr>
          <w:spacing w:val="-19"/>
        </w:rPr>
        <w:t xml:space="preserve"> </w:t>
      </w:r>
      <w:r w:rsidRPr="00325284">
        <w:t>purification.</w:t>
      </w:r>
    </w:p>
    <w:p w14:paraId="3548ECB9" w14:textId="77777777" w:rsidR="00C76B92" w:rsidRPr="00325284" w:rsidRDefault="00C76B92" w:rsidP="00C76B92">
      <w:pPr>
        <w:pStyle w:val="Textkrper"/>
        <w:spacing w:before="201" w:line="276" w:lineRule="auto"/>
        <w:ind w:left="113" w:right="113"/>
        <w:jc w:val="both"/>
      </w:pPr>
      <w:r w:rsidRPr="00325284">
        <w:t xml:space="preserve">CXCL8 was purified from the lysate supernatant in two steps by HPLC. First, the protein was purified by cation exchange chromatography on an ÄKTA purifier 10 system (GE Healthcare) with a 5 mL </w:t>
      </w:r>
      <w:proofErr w:type="spellStart"/>
      <w:r w:rsidRPr="00325284">
        <w:t>HiTrap</w:t>
      </w:r>
      <w:proofErr w:type="spellEnd"/>
      <w:r w:rsidRPr="00325284">
        <w:t xml:space="preserve"> SP FF column in a gradient of 0-30 % buffer B (Na</w:t>
      </w:r>
      <w:r w:rsidRPr="00325284">
        <w:rPr>
          <w:vertAlign w:val="subscript"/>
        </w:rPr>
        <w:t>2</w:t>
      </w:r>
      <w:r w:rsidRPr="00325284">
        <w:t>HPO</w:t>
      </w:r>
      <w:r w:rsidRPr="00325284">
        <w:rPr>
          <w:vertAlign w:val="subscript"/>
        </w:rPr>
        <w:t>4</w:t>
      </w:r>
      <w:r w:rsidRPr="00325284">
        <w:t xml:space="preserve"> 40 mM, NaCl 1.5 M, pH 7.4) at a flow rate of 3.5 mL min</w:t>
      </w:r>
      <w:r w:rsidRPr="00325284">
        <w:rPr>
          <w:vertAlign w:val="superscript"/>
        </w:rPr>
        <w:t>-1</w:t>
      </w:r>
      <w:r w:rsidRPr="00325284">
        <w:t xml:space="preserve">. Protein was detected by absorption at 280 nm and fractions were collected automatically and desalted in a </w:t>
      </w:r>
      <w:proofErr w:type="spellStart"/>
      <w:r w:rsidRPr="00325284">
        <w:t>centricon</w:t>
      </w:r>
      <w:proofErr w:type="spellEnd"/>
      <w:r w:rsidRPr="00325284">
        <w:t xml:space="preserve"> (Vivaspin20, </w:t>
      </w:r>
      <w:proofErr w:type="spellStart"/>
      <w:r w:rsidRPr="00325284">
        <w:t>Satorius</w:t>
      </w:r>
      <w:proofErr w:type="spellEnd"/>
      <w:r w:rsidRPr="00325284">
        <w:t>) against water. Then the protein was purified by C8 reversed-phase HPLC on a Shimadzu LC20-AD system equipped with two pumps, SPD-M20A photodiode array detector and 250 x 10 mm C8 RP column (</w:t>
      </w:r>
      <w:proofErr w:type="spellStart"/>
      <w:r w:rsidRPr="00325284">
        <w:t>Machery</w:t>
      </w:r>
      <w:proofErr w:type="spellEnd"/>
      <w:r w:rsidRPr="00325284">
        <w:t xml:space="preserve"> &amp; Nagel). The protein sample was injected through a 2 mL injection loop to the column. Concentration of eluent B was increased steadily from 0 % to 80 % over 5 CV at a flow rate of 2 mL min</w:t>
      </w:r>
      <w:r w:rsidRPr="00325284">
        <w:rPr>
          <w:vertAlign w:val="superscript"/>
        </w:rPr>
        <w:t>-1</w:t>
      </w:r>
      <w:r w:rsidRPr="00325284">
        <w:t>. Absorption was monitored at 280 nm and fractions were collected and lyophilized manually.</w:t>
      </w:r>
    </w:p>
    <w:p w14:paraId="49AE393E" w14:textId="77777777" w:rsidR="00B2494D" w:rsidRPr="00325284" w:rsidRDefault="00033AEF">
      <w:pPr>
        <w:pStyle w:val="Textkrper"/>
        <w:spacing w:before="5"/>
        <w:rPr>
          <w:b/>
          <w:sz w:val="25"/>
        </w:rPr>
      </w:pPr>
      <w:r w:rsidRPr="00325284">
        <w:rPr>
          <w:noProof/>
        </w:rPr>
        <w:drawing>
          <wp:anchor distT="0" distB="0" distL="0" distR="0" simplePos="0" relativeHeight="251658240" behindDoc="0" locked="0" layoutInCell="1" allowOverlap="1" wp14:anchorId="3EA1467C" wp14:editId="4C19E906">
            <wp:simplePos x="0" y="0"/>
            <wp:positionH relativeFrom="page">
              <wp:posOffset>899794</wp:posOffset>
            </wp:positionH>
            <wp:positionV relativeFrom="paragraph">
              <wp:posOffset>210960</wp:posOffset>
            </wp:positionV>
            <wp:extent cx="5474779" cy="22463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74779" cy="2246376"/>
                    </a:xfrm>
                    <a:prstGeom prst="rect">
                      <a:avLst/>
                    </a:prstGeom>
                  </pic:spPr>
                </pic:pic>
              </a:graphicData>
            </a:graphic>
          </wp:anchor>
        </w:drawing>
      </w:r>
    </w:p>
    <w:p w14:paraId="3BD6D6AA" w14:textId="77777777" w:rsidR="00B2494D" w:rsidRPr="00C57F9A" w:rsidRDefault="00033AEF">
      <w:pPr>
        <w:spacing w:before="140"/>
        <w:ind w:left="116" w:right="111"/>
        <w:jc w:val="both"/>
        <w:rPr>
          <w:sz w:val="20"/>
        </w:rPr>
      </w:pPr>
      <w:r w:rsidRPr="00C57F9A">
        <w:rPr>
          <w:b/>
          <w:sz w:val="20"/>
        </w:rPr>
        <w:t>Figure S1.</w:t>
      </w:r>
      <w:r w:rsidRPr="00C57F9A">
        <w:rPr>
          <w:sz w:val="20"/>
        </w:rPr>
        <w:t xml:space="preserve"> Conformational and protein-protein interaction potential energy (P.E.) changes of CXCR1:CXCL8 complex during MD simulation. A) Root mean square deviation (RMSD) of Cα atoms of CXCR1 and bound CXCL8 compared to initial model. B) Estimated P.E. between CXCR1 and bound CXCL8 according to van-der-Waals and electrostatic interactions.</w:t>
      </w:r>
    </w:p>
    <w:p w14:paraId="3BF61B1D" w14:textId="77777777" w:rsidR="00BC3464" w:rsidRPr="00C57F9A" w:rsidRDefault="00BC3464">
      <w:pPr>
        <w:spacing w:before="140"/>
        <w:ind w:left="116" w:right="111"/>
        <w:jc w:val="both"/>
        <w:rPr>
          <w:sz w:val="20"/>
        </w:rPr>
      </w:pPr>
    </w:p>
    <w:p w14:paraId="6B7AFBD4" w14:textId="77777777" w:rsidR="007101A7" w:rsidRDefault="007101A7">
      <w:pPr>
        <w:rPr>
          <w:b/>
          <w:sz w:val="24"/>
        </w:rPr>
      </w:pPr>
      <w:r>
        <w:rPr>
          <w:b/>
          <w:sz w:val="24"/>
        </w:rPr>
        <w:br w:type="page"/>
      </w:r>
    </w:p>
    <w:p w14:paraId="681BDB1D" w14:textId="77777777" w:rsidR="007101A7" w:rsidRPr="007101A7" w:rsidRDefault="007101A7" w:rsidP="007101A7">
      <w:pPr>
        <w:spacing w:before="92"/>
        <w:ind w:left="116" w:right="115"/>
        <w:jc w:val="both"/>
        <w:rPr>
          <w:b/>
          <w:sz w:val="24"/>
        </w:rPr>
      </w:pPr>
      <w:r w:rsidRPr="007101A7">
        <w:rPr>
          <w:b/>
          <w:sz w:val="24"/>
        </w:rPr>
        <w:lastRenderedPageBreak/>
        <w:t>Method S</w:t>
      </w:r>
      <w:r w:rsidR="00C76B92">
        <w:rPr>
          <w:b/>
          <w:sz w:val="24"/>
        </w:rPr>
        <w:t>2 – Absorption measurement</w:t>
      </w:r>
    </w:p>
    <w:p w14:paraId="0FB1E558" w14:textId="77777777" w:rsidR="007101A7" w:rsidRPr="007101A7" w:rsidRDefault="007101A7" w:rsidP="007101A7">
      <w:pPr>
        <w:spacing w:before="92"/>
        <w:ind w:left="116" w:right="115"/>
        <w:jc w:val="both"/>
        <w:rPr>
          <w:sz w:val="24"/>
        </w:rPr>
      </w:pPr>
      <w:r w:rsidRPr="007101A7">
        <w:rPr>
          <w:sz w:val="24"/>
        </w:rPr>
        <w:t xml:space="preserve">Absorption spectra were measured on a Tecan Infinite M1000 microtiter plate reader (Tecan, Switzerland) in a 384 well black wall, transparent flat-bottom microtiter plate (Corning) in 40 µL total volume. To analyze absorption depending on CXCL8 concentration, a concentration series of 14 consecutive 1:2 dilutions CXCL8 was prepared by transferring 190 </w:t>
      </w:r>
      <w:proofErr w:type="spellStart"/>
      <w:r w:rsidRPr="007101A7">
        <w:rPr>
          <w:sz w:val="24"/>
        </w:rPr>
        <w:t>μL</w:t>
      </w:r>
      <w:proofErr w:type="spellEnd"/>
      <w:r w:rsidRPr="007101A7">
        <w:rPr>
          <w:sz w:val="24"/>
        </w:rPr>
        <w:t xml:space="preserve"> of CXCL8 stock solution (0,67 mg/mL) from one microfuge tube to another containing 190 </w:t>
      </w:r>
      <w:proofErr w:type="spellStart"/>
      <w:r w:rsidRPr="007101A7">
        <w:rPr>
          <w:sz w:val="24"/>
        </w:rPr>
        <w:t>μL</w:t>
      </w:r>
      <w:proofErr w:type="spellEnd"/>
      <w:r w:rsidRPr="007101A7">
        <w:rPr>
          <w:sz w:val="24"/>
        </w:rPr>
        <w:t xml:space="preserve"> ls-PBS. 30 µL of each solution was pipetted into six adjacent wells and 10 µL of a stock solution of </w:t>
      </w:r>
      <w:proofErr w:type="spellStart"/>
      <w:r w:rsidRPr="007101A7">
        <w:rPr>
          <w:sz w:val="24"/>
        </w:rPr>
        <w:t>Tmr-linLoopsE</w:t>
      </w:r>
      <w:proofErr w:type="spellEnd"/>
      <w:r w:rsidRPr="007101A7">
        <w:rPr>
          <w:sz w:val="24"/>
        </w:rPr>
        <w:t xml:space="preserve"> were added to the first three wells of each concentration and 10 µL of a stock solution of </w:t>
      </w:r>
      <w:proofErr w:type="spellStart"/>
      <w:r w:rsidRPr="007101A7">
        <w:rPr>
          <w:sz w:val="24"/>
        </w:rPr>
        <w:t>Tmr-linLoopsQ</w:t>
      </w:r>
      <w:proofErr w:type="spellEnd"/>
      <w:r w:rsidRPr="007101A7">
        <w:rPr>
          <w:sz w:val="24"/>
        </w:rPr>
        <w:t xml:space="preserve"> were added to the next three. As control, 10 µL of peptide was added to 30 µL of ls-PBS in triplicate and 40 µL of ls-PBS was used as blank, Absorption spectra were recorded from 300 – 700 nm for the wells containing the highest CXCL8 concentration and for the wells containing only peptide in buffer.</w:t>
      </w:r>
    </w:p>
    <w:p w14:paraId="36B81379" w14:textId="77777777" w:rsidR="007101A7" w:rsidRPr="007101A7" w:rsidRDefault="007101A7" w:rsidP="007101A7">
      <w:pPr>
        <w:spacing w:before="140"/>
        <w:ind w:left="116" w:right="111"/>
        <w:jc w:val="both"/>
        <w:rPr>
          <w:i/>
        </w:rPr>
      </w:pPr>
    </w:p>
    <w:p w14:paraId="4ECFCCC4" w14:textId="77777777" w:rsidR="00BC3464" w:rsidRDefault="00BC3464" w:rsidP="00BC3464">
      <w:pPr>
        <w:pStyle w:val="MDPI23heading3"/>
        <w:spacing w:before="210" w:after="0" w:line="276" w:lineRule="auto"/>
        <w:ind w:left="142"/>
        <w:jc w:val="both"/>
        <w:rPr>
          <w:rFonts w:ascii="Times New Roman" w:hAnsi="Times New Roman"/>
          <w:sz w:val="22"/>
        </w:rPr>
      </w:pPr>
    </w:p>
    <w:tbl>
      <w:tblPr>
        <w:tblW w:w="0" w:type="auto"/>
        <w:jc w:val="center"/>
        <w:tblLook w:val="04A0" w:firstRow="1" w:lastRow="0" w:firstColumn="1" w:lastColumn="0" w:noHBand="0" w:noVBand="1"/>
      </w:tblPr>
      <w:tblGrid>
        <w:gridCol w:w="4773"/>
        <w:gridCol w:w="4537"/>
      </w:tblGrid>
      <w:tr w:rsidR="008123C9" w14:paraId="7DEBEDF8" w14:textId="77777777" w:rsidTr="00DE0169">
        <w:trPr>
          <w:jc w:val="center"/>
        </w:trPr>
        <w:tc>
          <w:tcPr>
            <w:tcW w:w="4057" w:type="dxa"/>
            <w:vAlign w:val="center"/>
            <w:hideMark/>
          </w:tcPr>
          <w:p w14:paraId="14EF63CE" w14:textId="77777777" w:rsidR="00BC3464" w:rsidRDefault="008123C9" w:rsidP="00DE0169">
            <w:pPr>
              <w:pStyle w:val="MDPI52figure"/>
              <w:spacing w:before="0"/>
            </w:pPr>
            <w:r w:rsidRPr="008123C9">
              <w:rPr>
                <w:noProof/>
              </w:rPr>
              <w:drawing>
                <wp:inline distT="0" distB="0" distL="0" distR="0" wp14:anchorId="190D6D30" wp14:editId="33229465">
                  <wp:extent cx="2949934" cy="2336987"/>
                  <wp:effectExtent l="0" t="0" r="3175" b="6350"/>
                  <wp:docPr id="15" name="Grafik 14">
                    <a:extLst xmlns:a="http://schemas.openxmlformats.org/drawingml/2006/main">
                      <a:ext uri="{FF2B5EF4-FFF2-40B4-BE49-F238E27FC236}">
                        <a16:creationId xmlns:a16="http://schemas.microsoft.com/office/drawing/2014/main" id="{D58846CE-F4DA-41C2-B189-765A8D893A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a:extLst>
                              <a:ext uri="{FF2B5EF4-FFF2-40B4-BE49-F238E27FC236}">
                                <a16:creationId xmlns:a16="http://schemas.microsoft.com/office/drawing/2014/main" id="{D58846CE-F4DA-41C2-B189-765A8D893A27}"/>
                              </a:ext>
                            </a:extLst>
                          </pic:cNvPr>
                          <pic:cNvPicPr>
                            <a:picLocks noChangeAspect="1"/>
                          </pic:cNvPicPr>
                        </pic:nvPicPr>
                        <pic:blipFill rotWithShape="1">
                          <a:blip r:embed="rId6"/>
                          <a:srcRect r="20580"/>
                          <a:stretch/>
                        </pic:blipFill>
                        <pic:spPr>
                          <a:xfrm>
                            <a:off x="0" y="0"/>
                            <a:ext cx="3030271" cy="2400631"/>
                          </a:xfrm>
                          <a:prstGeom prst="rect">
                            <a:avLst/>
                          </a:prstGeom>
                        </pic:spPr>
                      </pic:pic>
                    </a:graphicData>
                  </a:graphic>
                </wp:inline>
              </w:drawing>
            </w:r>
          </w:p>
        </w:tc>
        <w:tc>
          <w:tcPr>
            <w:tcW w:w="4268" w:type="dxa"/>
            <w:hideMark/>
          </w:tcPr>
          <w:p w14:paraId="3ED49F31" w14:textId="77777777" w:rsidR="00BC3464" w:rsidRDefault="007D777C" w:rsidP="00DE0169">
            <w:pPr>
              <w:pStyle w:val="MDPI52figure"/>
              <w:spacing w:before="0"/>
            </w:pPr>
            <w:r w:rsidRPr="007D777C">
              <w:rPr>
                <w:noProof/>
              </w:rPr>
              <w:drawing>
                <wp:inline distT="0" distB="0" distL="0" distR="0" wp14:anchorId="50A3A4E2" wp14:editId="30F942CD">
                  <wp:extent cx="2796890" cy="2520563"/>
                  <wp:effectExtent l="0" t="0" r="3810" b="0"/>
                  <wp:docPr id="10" name="Grafik 9">
                    <a:extLst xmlns:a="http://schemas.openxmlformats.org/drawingml/2006/main">
                      <a:ext uri="{FF2B5EF4-FFF2-40B4-BE49-F238E27FC236}">
                        <a16:creationId xmlns:a16="http://schemas.microsoft.com/office/drawing/2014/main" id="{08D24053-E98C-4CA3-9A03-3961CCB27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08D24053-E98C-4CA3-9A03-3961CCB27E49}"/>
                              </a:ext>
                            </a:extLst>
                          </pic:cNvPr>
                          <pic:cNvPicPr>
                            <a:picLocks noChangeAspect="1"/>
                          </pic:cNvPicPr>
                        </pic:nvPicPr>
                        <pic:blipFill rotWithShape="1">
                          <a:blip r:embed="rId7"/>
                          <a:srcRect r="29924"/>
                          <a:stretch/>
                        </pic:blipFill>
                        <pic:spPr>
                          <a:xfrm>
                            <a:off x="0" y="0"/>
                            <a:ext cx="2904430" cy="2617479"/>
                          </a:xfrm>
                          <a:prstGeom prst="rect">
                            <a:avLst/>
                          </a:prstGeom>
                        </pic:spPr>
                      </pic:pic>
                    </a:graphicData>
                  </a:graphic>
                </wp:inline>
              </w:drawing>
            </w:r>
          </w:p>
        </w:tc>
      </w:tr>
      <w:tr w:rsidR="008123C9" w14:paraId="509020A1" w14:textId="77777777" w:rsidTr="00DE0169">
        <w:trPr>
          <w:jc w:val="center"/>
        </w:trPr>
        <w:tc>
          <w:tcPr>
            <w:tcW w:w="4057" w:type="dxa"/>
            <w:vAlign w:val="center"/>
            <w:hideMark/>
          </w:tcPr>
          <w:p w14:paraId="5F1534C2" w14:textId="77777777" w:rsidR="00BC3464" w:rsidRDefault="00BC3464" w:rsidP="00DE0169">
            <w:pPr>
              <w:pStyle w:val="MDPI42tablebody"/>
            </w:pPr>
            <w:r>
              <w:t>(</w:t>
            </w:r>
            <w:r w:rsidRPr="0033188F">
              <w:rPr>
                <w:b/>
              </w:rPr>
              <w:t>a</w:t>
            </w:r>
            <w:r>
              <w:t>)</w:t>
            </w:r>
          </w:p>
        </w:tc>
        <w:tc>
          <w:tcPr>
            <w:tcW w:w="4268" w:type="dxa"/>
            <w:hideMark/>
          </w:tcPr>
          <w:p w14:paraId="4B95E572" w14:textId="77777777" w:rsidR="00BC3464" w:rsidRDefault="00BC3464" w:rsidP="00DE0169">
            <w:pPr>
              <w:pStyle w:val="MDPI42tablebody"/>
            </w:pPr>
            <w:r>
              <w:t>(</w:t>
            </w:r>
            <w:r w:rsidRPr="0033188F">
              <w:rPr>
                <w:b/>
              </w:rPr>
              <w:t>b</w:t>
            </w:r>
            <w:r>
              <w:t>)</w:t>
            </w:r>
          </w:p>
        </w:tc>
      </w:tr>
    </w:tbl>
    <w:p w14:paraId="44408EA3" w14:textId="77777777" w:rsidR="00BC3464" w:rsidRDefault="00BC3464" w:rsidP="00BC3464">
      <w:pPr>
        <w:spacing w:before="92"/>
        <w:ind w:left="116" w:right="115"/>
        <w:jc w:val="both"/>
        <w:rPr>
          <w:sz w:val="20"/>
        </w:rPr>
      </w:pPr>
      <w:r w:rsidRPr="00C57F9A">
        <w:rPr>
          <w:b/>
          <w:sz w:val="20"/>
        </w:rPr>
        <w:t>Figure S2</w:t>
      </w:r>
      <w:r w:rsidRPr="00C57F9A">
        <w:rPr>
          <w:sz w:val="20"/>
        </w:rPr>
        <w:t>: Absorption changes due to interaction of T</w:t>
      </w:r>
      <w:r w:rsidR="00DE0169">
        <w:rPr>
          <w:sz w:val="20"/>
        </w:rPr>
        <w:t>MR</w:t>
      </w:r>
      <w:r w:rsidRPr="00C57F9A">
        <w:rPr>
          <w:sz w:val="20"/>
        </w:rPr>
        <w:t>-</w:t>
      </w:r>
      <w:proofErr w:type="spellStart"/>
      <w:r w:rsidR="008123C9">
        <w:rPr>
          <w:sz w:val="20"/>
        </w:rPr>
        <w:t>L</w:t>
      </w:r>
      <w:r w:rsidRPr="00C57F9A">
        <w:rPr>
          <w:sz w:val="20"/>
        </w:rPr>
        <w:t>in</w:t>
      </w:r>
      <w:r w:rsidR="008123C9">
        <w:rPr>
          <w:sz w:val="20"/>
        </w:rPr>
        <w:t>l</w:t>
      </w:r>
      <w:r w:rsidRPr="00C57F9A">
        <w:rPr>
          <w:sz w:val="20"/>
        </w:rPr>
        <w:t>oops</w:t>
      </w:r>
      <w:proofErr w:type="spellEnd"/>
      <w:r w:rsidRPr="00C57F9A">
        <w:rPr>
          <w:sz w:val="20"/>
        </w:rPr>
        <w:t xml:space="preserve"> peptides with CXCL8: </w:t>
      </w:r>
      <w:r w:rsidR="00C57F9A" w:rsidRPr="00C57F9A">
        <w:rPr>
          <w:sz w:val="20"/>
        </w:rPr>
        <w:t>(a</w:t>
      </w:r>
      <w:r w:rsidRPr="00C57F9A">
        <w:rPr>
          <w:sz w:val="20"/>
        </w:rPr>
        <w:t>) Absorption at 530</w:t>
      </w:r>
      <w:r w:rsidR="008123C9">
        <w:rPr>
          <w:sz w:val="20"/>
        </w:rPr>
        <w:t> </w:t>
      </w:r>
      <w:r w:rsidRPr="00C57F9A">
        <w:rPr>
          <w:sz w:val="20"/>
        </w:rPr>
        <w:t xml:space="preserve">nm measured for 350 </w:t>
      </w:r>
      <w:proofErr w:type="spellStart"/>
      <w:r w:rsidR="00B7292E">
        <w:rPr>
          <w:sz w:val="20"/>
        </w:rPr>
        <w:t>n</w:t>
      </w:r>
      <w:r w:rsidRPr="00C57F9A">
        <w:rPr>
          <w:sz w:val="20"/>
        </w:rPr>
        <w:t>M</w:t>
      </w:r>
      <w:proofErr w:type="spellEnd"/>
      <w:r w:rsidRPr="00C57F9A">
        <w:rPr>
          <w:sz w:val="20"/>
        </w:rPr>
        <w:t xml:space="preserve"> of T</w:t>
      </w:r>
      <w:r w:rsidR="008123C9">
        <w:rPr>
          <w:sz w:val="20"/>
        </w:rPr>
        <w:t>MR</w:t>
      </w:r>
      <w:r w:rsidRPr="00C57F9A">
        <w:rPr>
          <w:sz w:val="20"/>
        </w:rPr>
        <w:t>-</w:t>
      </w:r>
      <w:proofErr w:type="spellStart"/>
      <w:r w:rsidR="008123C9">
        <w:rPr>
          <w:sz w:val="20"/>
        </w:rPr>
        <w:t>L</w:t>
      </w:r>
      <w:r w:rsidRPr="00C57F9A">
        <w:rPr>
          <w:sz w:val="20"/>
        </w:rPr>
        <w:t>in</w:t>
      </w:r>
      <w:r w:rsidR="008123C9">
        <w:rPr>
          <w:sz w:val="20"/>
        </w:rPr>
        <w:t>l</w:t>
      </w:r>
      <w:r w:rsidRPr="00C57F9A">
        <w:rPr>
          <w:sz w:val="20"/>
        </w:rPr>
        <w:t>oopsE</w:t>
      </w:r>
      <w:proofErr w:type="spellEnd"/>
      <w:r w:rsidRPr="00C57F9A">
        <w:rPr>
          <w:sz w:val="20"/>
        </w:rPr>
        <w:t xml:space="preserve"> (gray diamonds) and T</w:t>
      </w:r>
      <w:r w:rsidR="008123C9">
        <w:rPr>
          <w:sz w:val="20"/>
        </w:rPr>
        <w:t>MR</w:t>
      </w:r>
      <w:r w:rsidRPr="00C57F9A">
        <w:rPr>
          <w:sz w:val="20"/>
        </w:rPr>
        <w:t>-</w:t>
      </w:r>
      <w:proofErr w:type="spellStart"/>
      <w:r w:rsidR="008123C9">
        <w:rPr>
          <w:sz w:val="20"/>
        </w:rPr>
        <w:t>L</w:t>
      </w:r>
      <w:r w:rsidRPr="00C57F9A">
        <w:rPr>
          <w:sz w:val="20"/>
        </w:rPr>
        <w:t>in</w:t>
      </w:r>
      <w:r w:rsidR="008123C9">
        <w:rPr>
          <w:sz w:val="20"/>
        </w:rPr>
        <w:t>l</w:t>
      </w:r>
      <w:r w:rsidRPr="00C57F9A">
        <w:rPr>
          <w:sz w:val="20"/>
        </w:rPr>
        <w:t>oopsQ</w:t>
      </w:r>
      <w:proofErr w:type="spellEnd"/>
      <w:r w:rsidRPr="00C57F9A">
        <w:rPr>
          <w:sz w:val="20"/>
        </w:rPr>
        <w:t xml:space="preserve"> (black squares) in CXCL8 at different concentrations</w:t>
      </w:r>
      <w:r w:rsidR="00032AE7">
        <w:rPr>
          <w:sz w:val="20"/>
        </w:rPr>
        <w:t>.</w:t>
      </w:r>
      <w:r w:rsidR="00C57F9A" w:rsidRPr="00C57F9A">
        <w:rPr>
          <w:sz w:val="20"/>
        </w:rPr>
        <w:t xml:space="preserve"> </w:t>
      </w:r>
      <w:r w:rsidR="00032AE7">
        <w:rPr>
          <w:sz w:val="20"/>
        </w:rPr>
        <w:t xml:space="preserve">For background correction, the average value of the blank (buffer C) was subtracted. </w:t>
      </w:r>
      <w:r w:rsidR="00C57F9A" w:rsidRPr="00C57F9A">
        <w:rPr>
          <w:sz w:val="20"/>
        </w:rPr>
        <w:t>(b) absorption spectr</w:t>
      </w:r>
      <w:r w:rsidR="00032AE7">
        <w:rPr>
          <w:sz w:val="20"/>
        </w:rPr>
        <w:t>a</w:t>
      </w:r>
      <w:r w:rsidR="00C57F9A" w:rsidRPr="00C57F9A">
        <w:rPr>
          <w:sz w:val="20"/>
        </w:rPr>
        <w:t xml:space="preserve"> of 350 </w:t>
      </w:r>
      <w:proofErr w:type="spellStart"/>
      <w:r w:rsidR="00C57F9A" w:rsidRPr="00C57F9A">
        <w:rPr>
          <w:sz w:val="20"/>
        </w:rPr>
        <w:t>nM</w:t>
      </w:r>
      <w:proofErr w:type="spellEnd"/>
      <w:r w:rsidR="00C57F9A" w:rsidRPr="00C57F9A">
        <w:rPr>
          <w:sz w:val="20"/>
        </w:rPr>
        <w:t xml:space="preserve"> T</w:t>
      </w:r>
      <w:r w:rsidR="008123C9">
        <w:rPr>
          <w:sz w:val="20"/>
        </w:rPr>
        <w:t>MR-</w:t>
      </w:r>
      <w:proofErr w:type="spellStart"/>
      <w:r w:rsidR="008123C9">
        <w:rPr>
          <w:sz w:val="20"/>
        </w:rPr>
        <w:t>L</w:t>
      </w:r>
      <w:r w:rsidR="00C57F9A" w:rsidRPr="00C57F9A">
        <w:rPr>
          <w:sz w:val="20"/>
        </w:rPr>
        <w:t>in</w:t>
      </w:r>
      <w:r w:rsidR="008123C9">
        <w:rPr>
          <w:sz w:val="20"/>
        </w:rPr>
        <w:t>l</w:t>
      </w:r>
      <w:r w:rsidR="00C57F9A" w:rsidRPr="00C57F9A">
        <w:rPr>
          <w:sz w:val="20"/>
        </w:rPr>
        <w:t>oopsE</w:t>
      </w:r>
      <w:proofErr w:type="spellEnd"/>
      <w:r w:rsidR="00C57F9A" w:rsidRPr="00C57F9A">
        <w:rPr>
          <w:sz w:val="20"/>
        </w:rPr>
        <w:t xml:space="preserve"> (gray line) and T</w:t>
      </w:r>
      <w:r w:rsidR="008123C9">
        <w:rPr>
          <w:sz w:val="20"/>
        </w:rPr>
        <w:t>MR</w:t>
      </w:r>
      <w:r w:rsidR="00C57F9A" w:rsidRPr="00C57F9A">
        <w:rPr>
          <w:sz w:val="20"/>
        </w:rPr>
        <w:t>-</w:t>
      </w:r>
      <w:proofErr w:type="spellStart"/>
      <w:r w:rsidR="008123C9">
        <w:rPr>
          <w:sz w:val="20"/>
        </w:rPr>
        <w:t>L</w:t>
      </w:r>
      <w:r w:rsidR="00C57F9A" w:rsidRPr="00C57F9A">
        <w:rPr>
          <w:sz w:val="20"/>
        </w:rPr>
        <w:t>in</w:t>
      </w:r>
      <w:r w:rsidR="008123C9">
        <w:rPr>
          <w:sz w:val="20"/>
        </w:rPr>
        <w:t>l</w:t>
      </w:r>
      <w:r w:rsidR="00C57F9A" w:rsidRPr="00C57F9A">
        <w:rPr>
          <w:sz w:val="20"/>
        </w:rPr>
        <w:t>oopsQ</w:t>
      </w:r>
      <w:proofErr w:type="spellEnd"/>
      <w:r w:rsidR="00C57F9A" w:rsidRPr="00C57F9A">
        <w:rPr>
          <w:sz w:val="20"/>
        </w:rPr>
        <w:t xml:space="preserve"> (black line) in 60 µM CXCL8.</w:t>
      </w:r>
      <w:r w:rsidR="00032AE7">
        <w:rPr>
          <w:sz w:val="20"/>
        </w:rPr>
        <w:t xml:space="preserve"> </w:t>
      </w:r>
      <w:r w:rsidR="00032AE7">
        <w:rPr>
          <w:sz w:val="20"/>
          <w:szCs w:val="20"/>
        </w:rPr>
        <w:t>Spectra were background-corrected by subtracting the absorption spectrum measured for 40 µL of buffer C.</w:t>
      </w:r>
    </w:p>
    <w:p w14:paraId="7BACEE5C" w14:textId="77777777" w:rsidR="007101A7" w:rsidRPr="007101A7" w:rsidRDefault="007101A7" w:rsidP="00BC3464">
      <w:pPr>
        <w:spacing w:before="92"/>
        <w:ind w:left="116" w:right="115"/>
        <w:jc w:val="both"/>
        <w:rPr>
          <w:b/>
          <w:sz w:val="20"/>
        </w:rPr>
      </w:pPr>
    </w:p>
    <w:p w14:paraId="344135E2" w14:textId="77777777" w:rsidR="00B2494D" w:rsidRPr="00325284" w:rsidRDefault="00B2494D">
      <w:pPr>
        <w:jc w:val="both"/>
        <w:rPr>
          <w:sz w:val="18"/>
        </w:rPr>
        <w:sectPr w:rsidR="00B2494D" w:rsidRPr="00325284">
          <w:type w:val="continuous"/>
          <w:pgSz w:w="11910" w:h="16840"/>
          <w:pgMar w:top="1580" w:right="1300" w:bottom="280" w:left="1300" w:header="720" w:footer="720" w:gutter="0"/>
          <w:cols w:space="720"/>
        </w:sectPr>
      </w:pPr>
    </w:p>
    <w:p w14:paraId="44BCFFAF" w14:textId="77777777" w:rsidR="00B2494D" w:rsidRPr="00325284" w:rsidRDefault="00033AEF">
      <w:pPr>
        <w:pStyle w:val="Textkrper"/>
        <w:ind w:left="210"/>
        <w:rPr>
          <w:sz w:val="20"/>
        </w:rPr>
      </w:pPr>
      <w:r w:rsidRPr="00325284">
        <w:rPr>
          <w:noProof/>
          <w:sz w:val="20"/>
        </w:rPr>
        <w:lastRenderedPageBreak/>
        <w:drawing>
          <wp:inline distT="0" distB="0" distL="0" distR="0" wp14:anchorId="65847E00" wp14:editId="26E2A370">
            <wp:extent cx="5610002" cy="85365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610002" cy="8536590"/>
                    </a:xfrm>
                    <a:prstGeom prst="rect">
                      <a:avLst/>
                    </a:prstGeom>
                  </pic:spPr>
                </pic:pic>
              </a:graphicData>
            </a:graphic>
          </wp:inline>
        </w:drawing>
      </w:r>
    </w:p>
    <w:p w14:paraId="21A9BB96" w14:textId="77777777" w:rsidR="00B2494D" w:rsidRPr="00325284" w:rsidRDefault="00B2494D">
      <w:pPr>
        <w:pStyle w:val="Textkrper"/>
        <w:spacing w:before="10"/>
        <w:rPr>
          <w:i/>
          <w:sz w:val="25"/>
        </w:rPr>
      </w:pPr>
    </w:p>
    <w:p w14:paraId="078E2943" w14:textId="77777777" w:rsidR="00B2494D" w:rsidRPr="00C57F9A" w:rsidRDefault="00033AEF">
      <w:pPr>
        <w:spacing w:before="93"/>
        <w:ind w:left="116" w:right="120"/>
        <w:rPr>
          <w:sz w:val="20"/>
        </w:rPr>
      </w:pPr>
      <w:r w:rsidRPr="00C57F9A">
        <w:rPr>
          <w:b/>
          <w:sz w:val="20"/>
        </w:rPr>
        <w:t>Figure S</w:t>
      </w:r>
      <w:r w:rsidR="00C57F9A" w:rsidRPr="00C57F9A">
        <w:rPr>
          <w:b/>
          <w:sz w:val="20"/>
        </w:rPr>
        <w:t>3</w:t>
      </w:r>
      <w:r w:rsidRPr="00C57F9A">
        <w:rPr>
          <w:sz w:val="20"/>
        </w:rPr>
        <w:t xml:space="preserve">: Distance of center of mass (com) of TAMRA label and com of each individual amino acid of the linear IL8Rp-Loops peptides. Green, IL8RP-LoopsE; purple, IL8RP-LoopsQ. </w:t>
      </w:r>
      <w:proofErr w:type="spellStart"/>
      <w:r w:rsidRPr="00C57F9A">
        <w:rPr>
          <w:sz w:val="20"/>
        </w:rPr>
        <w:t>Ahx</w:t>
      </w:r>
      <w:proofErr w:type="spellEnd"/>
      <w:r w:rsidRPr="00C57F9A">
        <w:rPr>
          <w:sz w:val="20"/>
        </w:rPr>
        <w:t xml:space="preserve">, </w:t>
      </w:r>
      <w:proofErr w:type="spellStart"/>
      <w:r w:rsidRPr="00C57F9A">
        <w:rPr>
          <w:sz w:val="20"/>
        </w:rPr>
        <w:t>aminohexanoic</w:t>
      </w:r>
      <w:proofErr w:type="spellEnd"/>
      <w:r w:rsidRPr="00C57F9A">
        <w:rPr>
          <w:sz w:val="20"/>
        </w:rPr>
        <w:t xml:space="preserve"> acid.</w:t>
      </w:r>
    </w:p>
    <w:p w14:paraId="73D1928E" w14:textId="77777777" w:rsidR="00B2494D" w:rsidRPr="00325284" w:rsidRDefault="00B2494D">
      <w:pPr>
        <w:rPr>
          <w:sz w:val="18"/>
        </w:rPr>
        <w:sectPr w:rsidR="00B2494D" w:rsidRPr="00325284">
          <w:pgSz w:w="11910" w:h="16840"/>
          <w:pgMar w:top="1420" w:right="1300" w:bottom="280" w:left="1300" w:header="720" w:footer="720" w:gutter="0"/>
          <w:cols w:space="720"/>
        </w:sectPr>
      </w:pPr>
    </w:p>
    <w:p w14:paraId="49F039A9" w14:textId="77777777" w:rsidR="00B2494D" w:rsidRPr="00325284" w:rsidRDefault="00B2494D">
      <w:pPr>
        <w:pStyle w:val="Textkrper"/>
        <w:rPr>
          <w:i/>
          <w:sz w:val="20"/>
        </w:rPr>
      </w:pPr>
    </w:p>
    <w:p w14:paraId="1FE0EDC6" w14:textId="77777777" w:rsidR="00B2494D" w:rsidRPr="00325284" w:rsidRDefault="00B2494D">
      <w:pPr>
        <w:pStyle w:val="Textkrper"/>
        <w:spacing w:before="1"/>
        <w:rPr>
          <w:i/>
          <w:sz w:val="11"/>
        </w:rPr>
      </w:pPr>
    </w:p>
    <w:p w14:paraId="130E958E" w14:textId="77777777" w:rsidR="00B2494D" w:rsidRDefault="00033AEF">
      <w:pPr>
        <w:pStyle w:val="Textkrper"/>
        <w:ind w:left="249"/>
        <w:rPr>
          <w:sz w:val="20"/>
        </w:rPr>
      </w:pPr>
      <w:r w:rsidRPr="00325284">
        <w:rPr>
          <w:noProof/>
          <w:sz w:val="20"/>
        </w:rPr>
        <w:drawing>
          <wp:inline distT="0" distB="0" distL="0" distR="0" wp14:anchorId="5FA4C691" wp14:editId="4F62A26F">
            <wp:extent cx="5512535" cy="26319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512535" cy="2631948"/>
                    </a:xfrm>
                    <a:prstGeom prst="rect">
                      <a:avLst/>
                    </a:prstGeom>
                  </pic:spPr>
                </pic:pic>
              </a:graphicData>
            </a:graphic>
          </wp:inline>
        </w:drawing>
      </w:r>
    </w:p>
    <w:p w14:paraId="318C2D26" w14:textId="77777777" w:rsidR="003F3B5F" w:rsidRPr="00325284" w:rsidRDefault="003F3B5F">
      <w:pPr>
        <w:pStyle w:val="Textkrper"/>
        <w:ind w:left="249"/>
        <w:rPr>
          <w:sz w:val="20"/>
        </w:rPr>
      </w:pPr>
      <w:r>
        <w:rPr>
          <w:sz w:val="20"/>
        </w:rPr>
        <w:tab/>
      </w:r>
      <w:r>
        <w:rPr>
          <w:sz w:val="20"/>
        </w:rPr>
        <w:tab/>
      </w:r>
      <w:r>
        <w:rPr>
          <w:sz w:val="20"/>
        </w:rPr>
        <w:tab/>
        <w:t xml:space="preserve">     </w:t>
      </w:r>
      <w:r w:rsidRPr="003F3B5F">
        <w:rPr>
          <w:b/>
          <w:sz w:val="20"/>
        </w:rPr>
        <w:t>(a)</w:t>
      </w:r>
      <w:r>
        <w:rPr>
          <w:sz w:val="20"/>
        </w:rPr>
        <w:tab/>
      </w:r>
      <w:r>
        <w:rPr>
          <w:sz w:val="20"/>
        </w:rPr>
        <w:tab/>
      </w:r>
      <w:r>
        <w:rPr>
          <w:sz w:val="20"/>
        </w:rPr>
        <w:tab/>
      </w:r>
      <w:r>
        <w:rPr>
          <w:sz w:val="20"/>
        </w:rPr>
        <w:tab/>
      </w:r>
      <w:r>
        <w:rPr>
          <w:sz w:val="20"/>
        </w:rPr>
        <w:tab/>
      </w:r>
      <w:r>
        <w:rPr>
          <w:sz w:val="20"/>
        </w:rPr>
        <w:tab/>
      </w:r>
      <w:r>
        <w:rPr>
          <w:sz w:val="20"/>
        </w:rPr>
        <w:tab/>
      </w:r>
      <w:r w:rsidRPr="003F3B5F">
        <w:rPr>
          <w:b/>
          <w:sz w:val="20"/>
        </w:rPr>
        <w:t>(b)</w:t>
      </w:r>
    </w:p>
    <w:p w14:paraId="69ACC5FF" w14:textId="77777777" w:rsidR="00B2494D" w:rsidRPr="00325284" w:rsidRDefault="00B2494D">
      <w:pPr>
        <w:pStyle w:val="Textkrper"/>
        <w:spacing w:before="10"/>
        <w:rPr>
          <w:i/>
        </w:rPr>
      </w:pPr>
    </w:p>
    <w:p w14:paraId="2434B482" w14:textId="77777777" w:rsidR="00B2494D" w:rsidRPr="00C57F9A" w:rsidRDefault="00033AEF">
      <w:pPr>
        <w:spacing w:before="92"/>
        <w:ind w:left="116" w:right="115"/>
        <w:jc w:val="both"/>
        <w:rPr>
          <w:sz w:val="20"/>
        </w:rPr>
      </w:pPr>
      <w:r w:rsidRPr="00C57F9A">
        <w:rPr>
          <w:b/>
          <w:sz w:val="20"/>
        </w:rPr>
        <w:t>Figure S</w:t>
      </w:r>
      <w:r w:rsidR="00C57F9A" w:rsidRPr="00C57F9A">
        <w:rPr>
          <w:b/>
          <w:sz w:val="20"/>
        </w:rPr>
        <w:t>4</w:t>
      </w:r>
      <w:r w:rsidRPr="00C57F9A">
        <w:rPr>
          <w:sz w:val="20"/>
        </w:rPr>
        <w:t xml:space="preserve">: Evaluation of RMSD for all peptides. </w:t>
      </w:r>
      <w:r w:rsidR="003F3B5F">
        <w:rPr>
          <w:sz w:val="20"/>
        </w:rPr>
        <w:t>(a)</w:t>
      </w:r>
      <w:r w:rsidRPr="00C57F9A">
        <w:rPr>
          <w:sz w:val="20"/>
        </w:rPr>
        <w:t xml:space="preserve">: RMSD plotted over time. </w:t>
      </w:r>
      <w:r w:rsidR="003F3B5F">
        <w:rPr>
          <w:sz w:val="20"/>
        </w:rPr>
        <w:t>(b)</w:t>
      </w:r>
      <w:r w:rsidRPr="00C57F9A">
        <w:rPr>
          <w:sz w:val="20"/>
        </w:rPr>
        <w:t xml:space="preserve">: Box plot. Whiskers indicate the 1.5 interquartile range. E, Q: unlabeled peptides; TMR-E/Q: TAMRA-labeled peptides; </w:t>
      </w:r>
      <w:proofErr w:type="spellStart"/>
      <w:r w:rsidRPr="00C57F9A">
        <w:rPr>
          <w:sz w:val="20"/>
        </w:rPr>
        <w:t>CycE</w:t>
      </w:r>
      <w:proofErr w:type="spellEnd"/>
      <w:r w:rsidRPr="00C57F9A">
        <w:rPr>
          <w:sz w:val="20"/>
        </w:rPr>
        <w:t>/Q: TAMRA labeled cyclic peptides.</w:t>
      </w:r>
    </w:p>
    <w:p w14:paraId="14FDB625" w14:textId="77777777" w:rsidR="00B2494D" w:rsidRDefault="00B2494D">
      <w:pPr>
        <w:pStyle w:val="Textkrper"/>
        <w:spacing w:before="8"/>
        <w:rPr>
          <w:i/>
          <w:sz w:val="17"/>
        </w:rPr>
      </w:pPr>
    </w:p>
    <w:p w14:paraId="644177E4" w14:textId="77777777" w:rsidR="00345B89" w:rsidRDefault="00345B89">
      <w:pPr>
        <w:pStyle w:val="Textkrper"/>
        <w:spacing w:before="8"/>
        <w:rPr>
          <w:i/>
          <w:sz w:val="17"/>
        </w:rPr>
      </w:pPr>
    </w:p>
    <w:sectPr w:rsidR="00345B89">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A18D3"/>
    <w:multiLevelType w:val="hybridMultilevel"/>
    <w:tmpl w:val="78026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0B152C"/>
    <w:multiLevelType w:val="hybridMultilevel"/>
    <w:tmpl w:val="9CC4B020"/>
    <w:lvl w:ilvl="0" w:tplc="342E578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3017569">
    <w:abstractNumId w:val="0"/>
  </w:num>
  <w:num w:numId="2" w16cid:durableId="160484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4D"/>
    <w:rsid w:val="00032AE7"/>
    <w:rsid w:val="00033AEF"/>
    <w:rsid w:val="0030656D"/>
    <w:rsid w:val="00325284"/>
    <w:rsid w:val="00345B89"/>
    <w:rsid w:val="003F3B5F"/>
    <w:rsid w:val="004B35A6"/>
    <w:rsid w:val="005D29F5"/>
    <w:rsid w:val="007101A7"/>
    <w:rsid w:val="007A7888"/>
    <w:rsid w:val="007D777C"/>
    <w:rsid w:val="008123C9"/>
    <w:rsid w:val="008B282C"/>
    <w:rsid w:val="008C0583"/>
    <w:rsid w:val="008C6A4A"/>
    <w:rsid w:val="00A73D44"/>
    <w:rsid w:val="00B2494D"/>
    <w:rsid w:val="00B7283E"/>
    <w:rsid w:val="00B7292E"/>
    <w:rsid w:val="00BC3464"/>
    <w:rsid w:val="00C57F9A"/>
    <w:rsid w:val="00C76B92"/>
    <w:rsid w:val="00D946C8"/>
    <w:rsid w:val="00DE0169"/>
    <w:rsid w:val="00E37233"/>
    <w:rsid w:val="00E74E41"/>
    <w:rsid w:val="00FE1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AFF0"/>
  <w15:docId w15:val="{9E4FD91C-CC91-4D07-99C7-D99C891D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rPr>
  </w:style>
  <w:style w:type="paragraph" w:styleId="berschrift1">
    <w:name w:val="heading 1"/>
    <w:basedOn w:val="Standard"/>
    <w:uiPriority w:val="9"/>
    <w:qFormat/>
    <w:pPr>
      <w:ind w:left="116"/>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89"/>
      <w:ind w:left="116" w:right="830"/>
    </w:pPr>
    <w:rPr>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MDPI16affiliation">
    <w:name w:val="MDPI_1.6_affiliation"/>
    <w:qFormat/>
    <w:rsid w:val="00325284"/>
    <w:pPr>
      <w:widowControl/>
      <w:autoSpaceDE/>
      <w:autoSpaceDN/>
      <w:adjustRightInd w:val="0"/>
      <w:snapToGrid w:val="0"/>
      <w:spacing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23heading3">
    <w:name w:val="MDPI_2.3_heading3"/>
    <w:qFormat/>
    <w:rsid w:val="00325284"/>
    <w:pPr>
      <w:widowControl/>
      <w:autoSpaceDE/>
      <w:autoSpaceDN/>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31text">
    <w:name w:val="MDPI_3.1_text"/>
    <w:qFormat/>
    <w:rsid w:val="008C6A4A"/>
    <w:pPr>
      <w:widowControl/>
      <w:autoSpaceDE/>
      <w:autoSpaceDN/>
      <w:adjustRightInd w:val="0"/>
      <w:snapToGrid w:val="0"/>
      <w:spacing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42tablebody">
    <w:name w:val="MDPI_4.2_table_body"/>
    <w:qFormat/>
    <w:rsid w:val="00BC3464"/>
    <w:pPr>
      <w:widowControl/>
      <w:autoSpaceDE/>
      <w:autoSpaceDN/>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52figure">
    <w:name w:val="MDPI_5.2_figure"/>
    <w:qFormat/>
    <w:rsid w:val="00BC3464"/>
    <w:pPr>
      <w:widowControl/>
      <w:autoSpaceDE/>
      <w:autoSpaceDN/>
      <w:adjustRightInd w:val="0"/>
      <w:snapToGrid w:val="0"/>
      <w:spacing w:before="240" w:after="120"/>
      <w:jc w:val="center"/>
    </w:pPr>
    <w:rPr>
      <w:rFonts w:ascii="Palatino Linotype" w:eastAsia="Times New Roman" w:hAnsi="Palatino Linotype" w:cs="Times New Roman"/>
      <w:snapToGrid w:val="0"/>
      <w:color w:val="000000"/>
      <w:sz w:val="20"/>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dc:creator>
  <cp:lastModifiedBy>ng10luke</cp:lastModifiedBy>
  <cp:revision>2</cp:revision>
  <dcterms:created xsi:type="dcterms:W3CDTF">2023-08-04T09:57:00Z</dcterms:created>
  <dcterms:modified xsi:type="dcterms:W3CDTF">2023-08-04T09:57:00Z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2010</vt:lpwstr>
  </property>
  <property fmtid="{D5CDD505-2E9C-101B-9397-08002B2CF9AE}" pid="4" name="LastSaved">
    <vt:filetime>2022-11-27T00:00:00Z</vt:filetime>
  </property>
</Properties>
</file>