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E822195" w14:textId="77777777" w:rsidR="00FB3536" w:rsidRPr="0034776B" w:rsidRDefault="00FB3536" w:rsidP="00FB3536">
      <w:pPr>
        <w:shd w:val="clear" w:color="auto" w:fill="FFFFFF"/>
        <w:jc w:val="center"/>
        <w:rPr>
          <w:b/>
          <w:sz w:val="32"/>
        </w:rPr>
      </w:pPr>
      <w:r w:rsidRPr="0034776B">
        <w:rPr>
          <w:b/>
          <w:sz w:val="32"/>
        </w:rPr>
        <w:t xml:space="preserve">Generation of a symmetrical </w:t>
      </w:r>
      <w:proofErr w:type="spellStart"/>
      <w:r w:rsidRPr="0034776B">
        <w:rPr>
          <w:b/>
          <w:sz w:val="32"/>
        </w:rPr>
        <w:t>trispecific</w:t>
      </w:r>
      <w:proofErr w:type="spellEnd"/>
      <w:r w:rsidRPr="0034776B">
        <w:rPr>
          <w:b/>
          <w:sz w:val="32"/>
        </w:rPr>
        <w:t xml:space="preserve"> NK cell engager based on a two-in-one antibody</w:t>
      </w:r>
    </w:p>
    <w:p w14:paraId="14DF9DDC" w14:textId="4E524A75" w:rsidR="00FB3536" w:rsidRDefault="00FB3536" w:rsidP="00FB3536">
      <w:pPr>
        <w:shd w:val="clear" w:color="auto" w:fill="FFFFFF"/>
        <w:rPr>
          <w:b/>
          <w:vertAlign w:val="superscript"/>
        </w:rPr>
      </w:pPr>
      <w:r w:rsidRPr="0008348D">
        <w:rPr>
          <w:b/>
        </w:rPr>
        <w:t xml:space="preserve">Julia </w:t>
      </w:r>
      <w:proofErr w:type="spellStart"/>
      <w:r w:rsidRPr="0008348D">
        <w:rPr>
          <w:b/>
        </w:rPr>
        <w:t>Harwardt</w:t>
      </w:r>
      <w:proofErr w:type="spellEnd"/>
      <w:r w:rsidRPr="0008348D">
        <w:rPr>
          <w:b/>
        </w:rPr>
        <w:t xml:space="preserve">, Stefania C. Carrara, Jan P. </w:t>
      </w:r>
      <w:proofErr w:type="spellStart"/>
      <w:r w:rsidRPr="0008348D">
        <w:rPr>
          <w:b/>
        </w:rPr>
        <w:t>Bogen</w:t>
      </w:r>
      <w:proofErr w:type="spellEnd"/>
      <w:r w:rsidRPr="0008348D">
        <w:rPr>
          <w:b/>
        </w:rPr>
        <w:t xml:space="preserve">, </w:t>
      </w:r>
      <w:r>
        <w:rPr>
          <w:b/>
        </w:rPr>
        <w:t xml:space="preserve">Katrin Schoenfeld, </w:t>
      </w:r>
      <w:r w:rsidRPr="0008348D">
        <w:rPr>
          <w:b/>
        </w:rPr>
        <w:t xml:space="preserve">Julius </w:t>
      </w:r>
      <w:proofErr w:type="spellStart"/>
      <w:r w:rsidRPr="0008348D">
        <w:rPr>
          <w:b/>
        </w:rPr>
        <w:t>Grzeschik</w:t>
      </w:r>
      <w:proofErr w:type="spellEnd"/>
      <w:r w:rsidRPr="0008348D">
        <w:rPr>
          <w:b/>
        </w:rPr>
        <w:t>, Björn Hock and Harald Kolmar</w:t>
      </w:r>
      <w:r>
        <w:rPr>
          <w:b/>
          <w:vertAlign w:val="superscript"/>
        </w:rPr>
        <w:t>*</w:t>
      </w:r>
    </w:p>
    <w:p w14:paraId="30EBB730" w14:textId="15A43C45" w:rsidR="00FB3536" w:rsidRDefault="00FB3536" w:rsidP="00FB3536">
      <w:pPr>
        <w:shd w:val="clear" w:color="auto" w:fill="FFFFFF"/>
        <w:rPr>
          <w:bCs/>
          <w:szCs w:val="20"/>
        </w:rPr>
      </w:pPr>
      <w:r>
        <w:rPr>
          <w:bCs/>
          <w:szCs w:val="20"/>
        </w:rPr>
        <w:t>*</w:t>
      </w:r>
      <w:r w:rsidRPr="001C6FE0">
        <w:rPr>
          <w:b/>
          <w:szCs w:val="20"/>
        </w:rPr>
        <w:t>Correspondence:</w:t>
      </w:r>
      <w:r>
        <w:rPr>
          <w:bCs/>
          <w:szCs w:val="20"/>
        </w:rPr>
        <w:t xml:space="preserve"> Harald Kolmar: </w:t>
      </w:r>
      <w:r w:rsidRPr="001C6FE0">
        <w:rPr>
          <w:bCs/>
          <w:szCs w:val="20"/>
        </w:rPr>
        <w:t>harald.kolmar@tu-darmstadt.de</w:t>
      </w:r>
    </w:p>
    <w:p w14:paraId="0EDC66D5" w14:textId="77777777" w:rsidR="00FB3536" w:rsidRDefault="00FB3536" w:rsidP="00FB3536">
      <w:pPr>
        <w:keepNext/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39F60528" wp14:editId="2E309CC9">
            <wp:extent cx="4885080" cy="7200000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08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1AA28" w14:textId="6B94CD7E" w:rsidR="00FB3536" w:rsidRPr="0037795D" w:rsidRDefault="00FB3536" w:rsidP="00FB3536">
      <w:pPr>
        <w:keepNext/>
        <w:jc w:val="both"/>
        <w:rPr>
          <w:noProof/>
          <w:szCs w:val="24"/>
          <w:lang w:eastAsia="de-DE"/>
        </w:rPr>
      </w:pPr>
      <w:r w:rsidRPr="0037795D">
        <w:rPr>
          <w:b/>
          <w:bCs/>
          <w:szCs w:val="24"/>
        </w:rPr>
        <w:t xml:space="preserve">Supplementary Figure 1. </w:t>
      </w:r>
      <w:r w:rsidRPr="0037795D">
        <w:rPr>
          <w:szCs w:val="24"/>
        </w:rPr>
        <w:t>Cellular binding on MRC-5 and NHEK cells. Cell titration of Cetuximab (black), HCP-LCE (pink), HC16-HCP (</w:t>
      </w:r>
      <w:r w:rsidR="005810EC" w:rsidRPr="0037795D">
        <w:rPr>
          <w:szCs w:val="24"/>
        </w:rPr>
        <w:t>o</w:t>
      </w:r>
      <w:r w:rsidRPr="0037795D">
        <w:rPr>
          <w:szCs w:val="24"/>
        </w:rPr>
        <w:t xml:space="preserve">range) and </w:t>
      </w:r>
      <w:proofErr w:type="spellStart"/>
      <w:r w:rsidRPr="0037795D">
        <w:rPr>
          <w:szCs w:val="24"/>
        </w:rPr>
        <w:t>KiH</w:t>
      </w:r>
      <w:proofErr w:type="spellEnd"/>
      <w:r w:rsidRPr="0037795D">
        <w:rPr>
          <w:szCs w:val="24"/>
        </w:rPr>
        <w:t xml:space="preserve"> variant (blue) on EGFR positive MRC-5 and NHEK cells. A variable slope three-parameter fit was utilized to for the resulting curves. </w:t>
      </w:r>
    </w:p>
    <w:p w14:paraId="15C9A3E4" w14:textId="5E65BC33" w:rsidR="00FB3536" w:rsidRPr="0037795D" w:rsidRDefault="00010049" w:rsidP="00FB3536">
      <w:pPr>
        <w:keepNext/>
      </w:pPr>
      <w:r w:rsidRPr="0037795D">
        <w:rPr>
          <w:noProof/>
        </w:rPr>
        <w:lastRenderedPageBreak/>
        <w:drawing>
          <wp:inline distT="0" distB="0" distL="0" distR="0" wp14:anchorId="6D270CF6" wp14:editId="71C3C1B6">
            <wp:extent cx="6208395" cy="5333365"/>
            <wp:effectExtent l="0" t="0" r="1905" b="635"/>
            <wp:docPr id="10" name="Grafik 10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3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10FC2" w14:textId="2F262567" w:rsidR="00FB3536" w:rsidRPr="0037795D" w:rsidRDefault="00FB3536" w:rsidP="00FB3536">
      <w:pPr>
        <w:pStyle w:val="Caption"/>
        <w:jc w:val="both"/>
      </w:pPr>
      <w:r w:rsidRPr="0037795D">
        <w:t xml:space="preserve">Supplementary Figure 2. </w:t>
      </w:r>
      <w:r w:rsidRPr="0037795D">
        <w:rPr>
          <w:b w:val="0"/>
          <w:bCs w:val="0"/>
        </w:rPr>
        <w:t>Isolation of HC16.</w:t>
      </w:r>
      <w:r w:rsidRPr="0037795D">
        <w:t xml:space="preserve"> </w:t>
      </w:r>
      <w:r w:rsidRPr="0037795D">
        <w:rPr>
          <w:b w:val="0"/>
        </w:rPr>
        <w:t>A) Sorting of the diploid common light chain yeast library. Surface presentation is depicted on the y-axis utilizing the anti-human lambda chain antibody PE labelled, while CD16</w:t>
      </w:r>
      <w:r w:rsidR="00A25608" w:rsidRPr="0037795D">
        <w:rPr>
          <w:b w:val="0"/>
        </w:rPr>
        <w:t>-His</w:t>
      </w:r>
      <w:r w:rsidRPr="0037795D">
        <w:rPr>
          <w:b w:val="0"/>
        </w:rPr>
        <w:t>-Biotin or CD16-His binding is shown on the x-axis using Streptavidin APC conjugated or the anti-6xHis AF647 antibody. B) Flow cytometric analysis of the isolated single clone after four consecutive rounds of FACS screening. Surface presentation is depicted on the y-axis utilizing the anti-human lambda chain antibody PE labelled, while CD16-His (pink) and PD-L1-His (blue) binding is shown on the x-axis using the anti-6xHis AF647 antibody.</w:t>
      </w:r>
      <w:r w:rsidRPr="0037795D">
        <w:t xml:space="preserve"> </w:t>
      </w:r>
    </w:p>
    <w:p w14:paraId="04E66C95" w14:textId="77777777" w:rsidR="00FB3536" w:rsidRPr="0037795D" w:rsidRDefault="00FB3536" w:rsidP="00FB3536"/>
    <w:p w14:paraId="16E04136" w14:textId="77777777" w:rsidR="00FB3536" w:rsidRPr="0037795D" w:rsidRDefault="00FB3536" w:rsidP="00FB3536"/>
    <w:p w14:paraId="3432671F" w14:textId="77777777" w:rsidR="00FB3536" w:rsidRPr="0037795D" w:rsidRDefault="00FB3536" w:rsidP="00FB3536"/>
    <w:p w14:paraId="0CAAD413" w14:textId="461AEF97" w:rsidR="00FB3536" w:rsidRPr="0037795D" w:rsidRDefault="007E5BFB" w:rsidP="00FB3536">
      <w:pPr>
        <w:keepNext/>
      </w:pPr>
      <w:r w:rsidRPr="0037795D">
        <w:rPr>
          <w:noProof/>
        </w:rPr>
        <w:lastRenderedPageBreak/>
        <w:drawing>
          <wp:inline distT="0" distB="0" distL="0" distR="0" wp14:anchorId="5048EEA3" wp14:editId="0BC7DDFD">
            <wp:extent cx="6208395" cy="5860415"/>
            <wp:effectExtent l="0" t="0" r="1905" b="6985"/>
            <wp:docPr id="2" name="Grafik 2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8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9F24" w14:textId="29985508" w:rsidR="00FB3536" w:rsidRPr="0037795D" w:rsidRDefault="00FB3536" w:rsidP="00FB3536">
      <w:pPr>
        <w:pStyle w:val="Caption"/>
        <w:jc w:val="both"/>
      </w:pPr>
      <w:r w:rsidRPr="0037795D">
        <w:t xml:space="preserve">Supplementary Figure 3. </w:t>
      </w:r>
      <w:r w:rsidRPr="0037795D">
        <w:rPr>
          <w:b w:val="0"/>
          <w:bCs w:val="0"/>
        </w:rPr>
        <w:t>SDS-PAGE analysis and SEC profiles. A)</w:t>
      </w:r>
      <w:r w:rsidRPr="0037795D">
        <w:rPr>
          <w:b w:val="0"/>
        </w:rPr>
        <w:t xml:space="preserve"> SDS-PAGE analysis of HC16-HCP (orange), oaHC16-HCP (green), </w:t>
      </w:r>
      <w:proofErr w:type="spellStart"/>
      <w:r w:rsidRPr="0037795D">
        <w:rPr>
          <w:b w:val="0"/>
        </w:rPr>
        <w:t>KiH</w:t>
      </w:r>
      <w:proofErr w:type="spellEnd"/>
      <w:r w:rsidRPr="0037795D">
        <w:rPr>
          <w:b w:val="0"/>
        </w:rPr>
        <w:t xml:space="preserve"> variant (blue) and HCP-LCE (pink) under reducing conditions (left) and under non-reducing conditions (right) revealing high purity and the expected molecular weights. B) SEC profiles of HCP-LCE (pink) and HC16-HCP (orange) revealing high purity and the expected molecular weights.</w:t>
      </w:r>
      <w:r w:rsidRPr="0037795D">
        <w:t xml:space="preserve"> </w:t>
      </w:r>
    </w:p>
    <w:p w14:paraId="7D63F16E" w14:textId="77777777" w:rsidR="00FB3536" w:rsidRPr="0037795D" w:rsidRDefault="00FB3536" w:rsidP="00FB3536"/>
    <w:p w14:paraId="7E32027E" w14:textId="77777777" w:rsidR="00FB3536" w:rsidRPr="0037795D" w:rsidRDefault="00FB3536" w:rsidP="00FB3536">
      <w:r w:rsidRPr="0037795D">
        <w:rPr>
          <w:noProof/>
        </w:rPr>
        <w:lastRenderedPageBreak/>
        <w:drawing>
          <wp:inline distT="0" distB="0" distL="0" distR="0" wp14:anchorId="17409DAD" wp14:editId="24EDA893">
            <wp:extent cx="5760720" cy="16395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8D97" w14:textId="0D6AC0F4" w:rsidR="00FB3536" w:rsidRPr="0037795D" w:rsidRDefault="00FB3536" w:rsidP="00FB3536">
      <w:pPr>
        <w:pStyle w:val="Caption"/>
        <w:jc w:val="both"/>
        <w:rPr>
          <w:b w:val="0"/>
          <w:bCs w:val="0"/>
        </w:rPr>
      </w:pPr>
      <w:r w:rsidRPr="0037795D">
        <w:t xml:space="preserve">Supplementary Figure 4. </w:t>
      </w:r>
      <w:r w:rsidRPr="0037795D">
        <w:rPr>
          <w:b w:val="0"/>
          <w:bCs w:val="0"/>
        </w:rPr>
        <w:t>Binding kinetics of HC16 by BLI-assisted measurements.</w:t>
      </w:r>
      <w:r w:rsidRPr="0037795D">
        <w:t xml:space="preserve"> </w:t>
      </w:r>
      <w:r w:rsidRPr="0037795D">
        <w:rPr>
          <w:b w:val="0"/>
          <w:bCs w:val="0"/>
        </w:rPr>
        <w:t xml:space="preserve">BLI-measurement of the anti-CD16 antibody HC16 against CD16a, EGFR and PD-L1. The antibody targets CD16a exclusively. </w:t>
      </w:r>
    </w:p>
    <w:p w14:paraId="2DC2B066" w14:textId="77777777" w:rsidR="00FB3536" w:rsidRPr="0037795D" w:rsidRDefault="00FB3536" w:rsidP="00FB3536"/>
    <w:p w14:paraId="20F60B07" w14:textId="77777777" w:rsidR="00FB3536" w:rsidRPr="0037795D" w:rsidRDefault="00FB3536" w:rsidP="00FB3536">
      <w:pPr>
        <w:keepNext/>
      </w:pPr>
      <w:r w:rsidRPr="0037795D">
        <w:rPr>
          <w:noProof/>
          <w:lang w:eastAsia="de-DE"/>
        </w:rPr>
        <w:drawing>
          <wp:inline distT="0" distB="0" distL="0" distR="0" wp14:anchorId="4C68E81E" wp14:editId="6F9DA322">
            <wp:extent cx="5760720" cy="3062605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1DA72" w14:textId="64A2A470" w:rsidR="00FB3536" w:rsidRPr="0037795D" w:rsidRDefault="00FB3536" w:rsidP="00FB3536">
      <w:pPr>
        <w:pStyle w:val="Caption"/>
        <w:jc w:val="both"/>
      </w:pPr>
      <w:r w:rsidRPr="0037795D">
        <w:t xml:space="preserve">Supplementary Figure 5. </w:t>
      </w:r>
      <w:r w:rsidRPr="0037795D">
        <w:rPr>
          <w:b w:val="0"/>
          <w:bCs w:val="0"/>
        </w:rPr>
        <w:t xml:space="preserve">Cellular binding on A431 cells and </w:t>
      </w:r>
      <w:proofErr w:type="spellStart"/>
      <w:r w:rsidRPr="0037795D">
        <w:rPr>
          <w:b w:val="0"/>
          <w:bCs w:val="0"/>
        </w:rPr>
        <w:t>Daudi</w:t>
      </w:r>
      <w:proofErr w:type="spellEnd"/>
      <w:r w:rsidRPr="0037795D">
        <w:rPr>
          <w:b w:val="0"/>
          <w:bCs w:val="0"/>
        </w:rPr>
        <w:t xml:space="preserve"> cells.</w:t>
      </w:r>
      <w:r w:rsidRPr="0037795D">
        <w:t xml:space="preserve"> </w:t>
      </w:r>
      <w:r w:rsidRPr="0037795D">
        <w:rPr>
          <w:b w:val="0"/>
        </w:rPr>
        <w:t xml:space="preserve">Cell titration of HC16-HCP (orange), </w:t>
      </w:r>
      <w:proofErr w:type="spellStart"/>
      <w:r w:rsidRPr="0037795D">
        <w:rPr>
          <w:b w:val="0"/>
        </w:rPr>
        <w:t>KiH</w:t>
      </w:r>
      <w:proofErr w:type="spellEnd"/>
      <w:r w:rsidRPr="0037795D">
        <w:rPr>
          <w:b w:val="0"/>
        </w:rPr>
        <w:t xml:space="preserve"> variant (blue), oaHC16-HCP (green) and HCP-LCE (pink) on EGFR/PD-L1 double positive A431 cells (circles) and on EGFR/PD-L1 double negative </w:t>
      </w:r>
      <w:proofErr w:type="spellStart"/>
      <w:r w:rsidRPr="0037795D">
        <w:rPr>
          <w:b w:val="0"/>
        </w:rPr>
        <w:t>Daudi</w:t>
      </w:r>
      <w:proofErr w:type="spellEnd"/>
      <w:r w:rsidRPr="0037795D">
        <w:rPr>
          <w:b w:val="0"/>
        </w:rPr>
        <w:t xml:space="preserve"> cells (triangles). A variable slope three-parameter fit was utilized to fit the resulting curves. The assay was repeated twice, yielding comparable results.</w:t>
      </w:r>
    </w:p>
    <w:p w14:paraId="58F1AED1" w14:textId="3AD126CA" w:rsidR="00DE23E8" w:rsidRPr="0037795D" w:rsidRDefault="00DE23E8" w:rsidP="00654E8F">
      <w:pPr>
        <w:spacing w:before="240"/>
      </w:pPr>
    </w:p>
    <w:p w14:paraId="3730B074" w14:textId="74355355" w:rsidR="008C1793" w:rsidRPr="00E3548B" w:rsidRDefault="008C1793" w:rsidP="008C1793">
      <w:pPr>
        <w:pStyle w:val="Caption"/>
        <w:jc w:val="both"/>
      </w:pPr>
      <w:r w:rsidRPr="0037795D">
        <w:rPr>
          <w:noProof/>
        </w:rPr>
        <w:lastRenderedPageBreak/>
        <w:drawing>
          <wp:inline distT="0" distB="0" distL="0" distR="0" wp14:anchorId="33E23AC9" wp14:editId="4D58D357">
            <wp:extent cx="6208395" cy="2223135"/>
            <wp:effectExtent l="0" t="0" r="1905" b="5715"/>
            <wp:docPr id="5" name="Grafik 5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95D">
        <w:br/>
        <w:t xml:space="preserve">Supplementary Figure 6. </w:t>
      </w:r>
      <w:r w:rsidRPr="0037795D">
        <w:rPr>
          <w:b w:val="0"/>
          <w:bCs w:val="0"/>
        </w:rPr>
        <w:t xml:space="preserve">ADCC cell-based reporter assay. The </w:t>
      </w:r>
      <w:proofErr w:type="spellStart"/>
      <w:r w:rsidRPr="0037795D">
        <w:rPr>
          <w:b w:val="0"/>
          <w:bCs w:val="0"/>
        </w:rPr>
        <w:t>trispecific</w:t>
      </w:r>
      <w:proofErr w:type="spellEnd"/>
      <w:r w:rsidRPr="0037795D">
        <w:rPr>
          <w:b w:val="0"/>
          <w:bCs w:val="0"/>
        </w:rPr>
        <w:t xml:space="preserve"> constructs</w:t>
      </w:r>
      <w:r w:rsidR="00695D30" w:rsidRPr="0037795D">
        <w:rPr>
          <w:b w:val="0"/>
          <w:bCs w:val="0"/>
        </w:rPr>
        <w:t xml:space="preserve"> </w:t>
      </w:r>
      <w:r w:rsidRPr="0037795D">
        <w:rPr>
          <w:b w:val="0"/>
          <w:bCs w:val="0"/>
        </w:rPr>
        <w:t>HC16-HCP (orange)</w:t>
      </w:r>
      <w:r w:rsidR="00695D30" w:rsidRPr="0037795D">
        <w:rPr>
          <w:b w:val="0"/>
          <w:bCs w:val="0"/>
        </w:rPr>
        <w:t xml:space="preserve"> and </w:t>
      </w:r>
      <w:proofErr w:type="spellStart"/>
      <w:r w:rsidR="00695D30" w:rsidRPr="0037795D">
        <w:rPr>
          <w:b w:val="0"/>
          <w:bCs w:val="0"/>
        </w:rPr>
        <w:t>KiH</w:t>
      </w:r>
      <w:proofErr w:type="spellEnd"/>
      <w:r w:rsidR="00695D30" w:rsidRPr="0037795D">
        <w:rPr>
          <w:b w:val="0"/>
          <w:bCs w:val="0"/>
        </w:rPr>
        <w:t xml:space="preserve"> variant (blue)</w:t>
      </w:r>
      <w:r w:rsidRPr="0037795D">
        <w:rPr>
          <w:b w:val="0"/>
          <w:bCs w:val="0"/>
        </w:rPr>
        <w:t xml:space="preserve"> were tested in an ADCC reporter assay in the presence of EGFR/PD-L1 double</w:t>
      </w:r>
      <w:r w:rsidR="002B7C3D" w:rsidRPr="0037795D">
        <w:rPr>
          <w:b w:val="0"/>
          <w:bCs w:val="0"/>
        </w:rPr>
        <w:t>-</w:t>
      </w:r>
      <w:r w:rsidRPr="0037795D">
        <w:rPr>
          <w:b w:val="0"/>
          <w:bCs w:val="0"/>
        </w:rPr>
        <w:t xml:space="preserve">positive A549 cells </w:t>
      </w:r>
      <w:r w:rsidR="00695D30" w:rsidRPr="0037795D">
        <w:rPr>
          <w:b w:val="0"/>
          <w:bCs w:val="0"/>
        </w:rPr>
        <w:t xml:space="preserve">(dots) </w:t>
      </w:r>
      <w:r w:rsidRPr="0037795D">
        <w:rPr>
          <w:b w:val="0"/>
          <w:bCs w:val="0"/>
        </w:rPr>
        <w:t>and in the absence of A549 cells</w:t>
      </w:r>
      <w:r w:rsidR="00695D30" w:rsidRPr="0037795D">
        <w:rPr>
          <w:b w:val="0"/>
          <w:bCs w:val="0"/>
        </w:rPr>
        <w:t xml:space="preserve"> (triangles)</w:t>
      </w:r>
      <w:r w:rsidRPr="0037795D">
        <w:rPr>
          <w:b w:val="0"/>
          <w:bCs w:val="0"/>
        </w:rPr>
        <w:t>. Luciferase activity is plotted against the logarithmic antibody concentration. All measurements were performed in duplicates.</w:t>
      </w:r>
      <w:r>
        <w:rPr>
          <w:b w:val="0"/>
          <w:bCs w:val="0"/>
        </w:rPr>
        <w:t xml:space="preserve"> </w:t>
      </w:r>
    </w:p>
    <w:p w14:paraId="04C9EF19" w14:textId="61EE3006" w:rsidR="008C1793" w:rsidRPr="001549D3" w:rsidRDefault="008C1793" w:rsidP="00654E8F">
      <w:pPr>
        <w:spacing w:before="240"/>
      </w:pPr>
    </w:p>
    <w:sectPr w:rsidR="008C1793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29404" w14:textId="77777777" w:rsidR="00306160" w:rsidRDefault="00306160" w:rsidP="00117666">
      <w:pPr>
        <w:spacing w:after="0"/>
      </w:pPr>
      <w:r>
        <w:separator/>
      </w:r>
    </w:p>
  </w:endnote>
  <w:endnote w:type="continuationSeparator" w:id="0">
    <w:p w14:paraId="5D62EAD2" w14:textId="77777777" w:rsidR="00306160" w:rsidRDefault="0030616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32ADC" w14:textId="77777777" w:rsidR="00306160" w:rsidRDefault="00306160" w:rsidP="00117666">
      <w:pPr>
        <w:spacing w:after="0"/>
      </w:pPr>
      <w:r>
        <w:separator/>
      </w:r>
    </w:p>
  </w:footnote>
  <w:footnote w:type="continuationSeparator" w:id="0">
    <w:p w14:paraId="4DAC585F" w14:textId="77777777" w:rsidR="00306160" w:rsidRDefault="0030616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0049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B7C3D"/>
    <w:rsid w:val="002C74CA"/>
    <w:rsid w:val="00304534"/>
    <w:rsid w:val="00306160"/>
    <w:rsid w:val="003544FB"/>
    <w:rsid w:val="0037795D"/>
    <w:rsid w:val="003D2F2D"/>
    <w:rsid w:val="003D5DD7"/>
    <w:rsid w:val="00401590"/>
    <w:rsid w:val="00447801"/>
    <w:rsid w:val="00452E9C"/>
    <w:rsid w:val="004735C8"/>
    <w:rsid w:val="004828ED"/>
    <w:rsid w:val="004961FF"/>
    <w:rsid w:val="00517A89"/>
    <w:rsid w:val="005250F2"/>
    <w:rsid w:val="005810EC"/>
    <w:rsid w:val="00593EEA"/>
    <w:rsid w:val="005A5EEE"/>
    <w:rsid w:val="006375C7"/>
    <w:rsid w:val="00654E8F"/>
    <w:rsid w:val="00660D05"/>
    <w:rsid w:val="006820B1"/>
    <w:rsid w:val="00695D30"/>
    <w:rsid w:val="006B7D14"/>
    <w:rsid w:val="00701727"/>
    <w:rsid w:val="0070566C"/>
    <w:rsid w:val="00714C50"/>
    <w:rsid w:val="00725A7D"/>
    <w:rsid w:val="007501BE"/>
    <w:rsid w:val="00790BB3"/>
    <w:rsid w:val="007C206C"/>
    <w:rsid w:val="007E5BFB"/>
    <w:rsid w:val="00803D24"/>
    <w:rsid w:val="00817DD6"/>
    <w:rsid w:val="00885156"/>
    <w:rsid w:val="008C1793"/>
    <w:rsid w:val="009151AA"/>
    <w:rsid w:val="0093429D"/>
    <w:rsid w:val="00943573"/>
    <w:rsid w:val="00947313"/>
    <w:rsid w:val="00970F7D"/>
    <w:rsid w:val="00994A3D"/>
    <w:rsid w:val="009C2B12"/>
    <w:rsid w:val="009C70F3"/>
    <w:rsid w:val="00A174D9"/>
    <w:rsid w:val="00A25608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B3536"/>
    <w:rsid w:val="00FF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6</Pages>
  <Words>399</Words>
  <Characters>2278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Steffan Davies</cp:lastModifiedBy>
  <cp:revision>10</cp:revision>
  <cp:lastPrinted>2013-10-03T12:51:00Z</cp:lastPrinted>
  <dcterms:created xsi:type="dcterms:W3CDTF">2023-03-14T14:11:00Z</dcterms:created>
  <dcterms:modified xsi:type="dcterms:W3CDTF">2023-03-22T08:44:00Z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