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B4" w:rsidRPr="00544D8C" w:rsidRDefault="00661AB4" w:rsidP="00661AB4">
      <w:pPr>
        <w:spacing w:after="0" w:line="360" w:lineRule="auto"/>
        <w:rPr>
          <w:b/>
          <w:lang w:val="en-US"/>
        </w:rPr>
      </w:pPr>
      <w:r w:rsidRPr="00544D8C">
        <w:rPr>
          <w:b/>
          <w:lang w:val="en-US"/>
        </w:rPr>
        <w:t xml:space="preserve">Suitability of analytical methods to determine tebuconazole, propiconazole and permethrin in aged wood samples </w:t>
      </w:r>
    </w:p>
    <w:p w:rsidR="00661AB4" w:rsidRDefault="00661AB4" w:rsidP="00661AB4">
      <w:pPr>
        <w:spacing w:after="0" w:line="360" w:lineRule="auto"/>
        <w:rPr>
          <w:lang w:val="en-US"/>
        </w:rPr>
      </w:pPr>
    </w:p>
    <w:p w:rsidR="00661AB4" w:rsidRPr="00AB23E3" w:rsidRDefault="00661AB4" w:rsidP="00661AB4">
      <w:pPr>
        <w:spacing w:after="0" w:line="360" w:lineRule="auto"/>
        <w:rPr>
          <w:lang w:val="en-US"/>
        </w:rPr>
      </w:pPr>
      <w:r w:rsidRPr="00AB23E3">
        <w:rPr>
          <w:lang w:val="en-US"/>
        </w:rPr>
        <w:t>Ute Schoknecht, Petra Drescher, Martin Fischer, Christina Fürhapper,</w:t>
      </w:r>
      <w:r w:rsidRPr="00AB23E3">
        <w:rPr>
          <w:vertAlign w:val="superscript"/>
          <w:lang w:val="en-US"/>
        </w:rPr>
        <w:t xml:space="preserve"> </w:t>
      </w:r>
      <w:r w:rsidRPr="00AB23E3">
        <w:rPr>
          <w:lang w:val="en-US"/>
        </w:rPr>
        <w:t xml:space="preserve">Jan </w:t>
      </w:r>
      <w:proofErr w:type="spellStart"/>
      <w:r w:rsidRPr="00AB23E3">
        <w:rPr>
          <w:lang w:val="en-US"/>
        </w:rPr>
        <w:t>Gunschera</w:t>
      </w:r>
      <w:proofErr w:type="spellEnd"/>
      <w:r w:rsidRPr="00637920">
        <w:rPr>
          <w:lang w:val="en-US"/>
        </w:rPr>
        <w:t>,</w:t>
      </w:r>
      <w:r>
        <w:rPr>
          <w:vertAlign w:val="superscript"/>
          <w:lang w:val="en-US"/>
        </w:rPr>
        <w:t xml:space="preserve"> </w:t>
      </w:r>
      <w:r w:rsidRPr="00AB23E3">
        <w:rPr>
          <w:lang w:val="en-US"/>
        </w:rPr>
        <w:t>Rainer Hill,</w:t>
      </w:r>
      <w:r w:rsidRPr="00AB23E3">
        <w:rPr>
          <w:vertAlign w:val="superscript"/>
          <w:lang w:val="en-US"/>
        </w:rPr>
        <w:t xml:space="preserve"> </w:t>
      </w:r>
      <w:r w:rsidRPr="00AB23E3">
        <w:rPr>
          <w:lang w:val="en-US"/>
        </w:rPr>
        <w:t>Eckhard Melcher,</w:t>
      </w:r>
      <w:r w:rsidRPr="00AB23E3">
        <w:rPr>
          <w:vertAlign w:val="superscript"/>
          <w:lang w:val="en-US"/>
        </w:rPr>
        <w:t xml:space="preserve"> </w:t>
      </w:r>
      <w:r w:rsidRPr="00AB23E3">
        <w:rPr>
          <w:lang w:val="en-US"/>
        </w:rPr>
        <w:t>Robby Wegner,</w:t>
      </w:r>
      <w:r w:rsidRPr="00AB23E3">
        <w:rPr>
          <w:vertAlign w:val="superscript"/>
          <w:lang w:val="en-US"/>
        </w:rPr>
        <w:t xml:space="preserve"> </w:t>
      </w:r>
      <w:r w:rsidRPr="00AB23E3">
        <w:rPr>
          <w:lang w:val="en-US"/>
        </w:rPr>
        <w:t>Ursula Wilken,</w:t>
      </w:r>
      <w:r w:rsidRPr="00AB23E3">
        <w:rPr>
          <w:vertAlign w:val="superscript"/>
          <w:lang w:val="en-US"/>
        </w:rPr>
        <w:t xml:space="preserve"> </w:t>
      </w:r>
      <w:r w:rsidRPr="00AB23E3">
        <w:rPr>
          <w:lang w:val="en-US"/>
        </w:rPr>
        <w:t xml:space="preserve">Joachim </w:t>
      </w:r>
      <w:proofErr w:type="spellStart"/>
      <w:r w:rsidRPr="00AB23E3">
        <w:rPr>
          <w:lang w:val="en-US"/>
        </w:rPr>
        <w:t>Wittenzellner</w:t>
      </w:r>
      <w:proofErr w:type="spellEnd"/>
    </w:p>
    <w:p w:rsidR="00661AB4" w:rsidRPr="00661AB4" w:rsidRDefault="00661AB4">
      <w:pPr>
        <w:rPr>
          <w:lang w:val="en-US"/>
        </w:rPr>
      </w:pPr>
    </w:p>
    <w:p w:rsidR="00946F1E" w:rsidRDefault="00661AB4">
      <w:pPr>
        <w:rPr>
          <w:b/>
          <w:lang w:val="en-US"/>
        </w:rPr>
      </w:pPr>
      <w:r w:rsidRPr="00661AB4">
        <w:rPr>
          <w:b/>
          <w:lang w:val="en-US"/>
        </w:rPr>
        <w:t>Supplementary material</w:t>
      </w:r>
    </w:p>
    <w:p w:rsidR="00661AB4" w:rsidRDefault="00661AB4">
      <w:pPr>
        <w:rPr>
          <w:b/>
          <w:lang w:val="en-US"/>
        </w:rPr>
      </w:pPr>
    </w:p>
    <w:p w:rsidR="00661AB4" w:rsidRDefault="00661AB4">
      <w:pPr>
        <w:rPr>
          <w:lang w:val="en-US"/>
        </w:rPr>
      </w:pPr>
      <w:r w:rsidRPr="00661AB4">
        <w:rPr>
          <w:lang w:val="en-US"/>
        </w:rPr>
        <w:t xml:space="preserve">S1: </w:t>
      </w:r>
      <w:r w:rsidR="005C5FDD">
        <w:rPr>
          <w:lang w:val="en-US"/>
        </w:rPr>
        <w:t>GC-MS (EI) m</w:t>
      </w:r>
      <w:r w:rsidRPr="00661AB4">
        <w:rPr>
          <w:lang w:val="en-US"/>
        </w:rPr>
        <w:t>ass spectra of tebuconazole, propiconazole and permethrin</w:t>
      </w:r>
    </w:p>
    <w:p w:rsidR="00572134" w:rsidRDefault="00B90EF2">
      <w:pPr>
        <w:rPr>
          <w:lang w:val="en-US"/>
        </w:rPr>
      </w:pPr>
      <w:r w:rsidRPr="00C213F8">
        <w:rPr>
          <w:lang w:val="en-US"/>
        </w:rPr>
        <w:t>S2:</w:t>
      </w:r>
      <w:r w:rsidR="00C213F8" w:rsidRPr="00C213F8">
        <w:rPr>
          <w:lang w:val="en-US"/>
        </w:rPr>
        <w:t xml:space="preserve"> Extraction conditions applied i</w:t>
      </w:r>
      <w:r w:rsidR="00C213F8">
        <w:rPr>
          <w:lang w:val="en-US"/>
        </w:rPr>
        <w:t xml:space="preserve">n different laboratories </w:t>
      </w:r>
    </w:p>
    <w:p w:rsidR="00C213F8" w:rsidRDefault="00C213F8">
      <w:pPr>
        <w:rPr>
          <w:lang w:val="en-US"/>
        </w:rPr>
      </w:pPr>
      <w:r>
        <w:rPr>
          <w:lang w:val="en-US"/>
        </w:rPr>
        <w:t>S3: HPLC conditions in different laboratories</w:t>
      </w:r>
    </w:p>
    <w:p w:rsidR="00C213F8" w:rsidRDefault="00C213F8">
      <w:pPr>
        <w:rPr>
          <w:lang w:val="en-US"/>
        </w:rPr>
      </w:pPr>
      <w:r>
        <w:rPr>
          <w:lang w:val="en-US"/>
        </w:rPr>
        <w:t>S4: GC conditions in different laboratories</w:t>
      </w:r>
    </w:p>
    <w:p w:rsidR="00C213F8" w:rsidRDefault="00C213F8">
      <w:pPr>
        <w:rPr>
          <w:lang w:val="en-US"/>
        </w:rPr>
      </w:pPr>
      <w:r>
        <w:rPr>
          <w:lang w:val="en-US"/>
        </w:rPr>
        <w:t>S5: Results for sample A from different analytical procedures</w:t>
      </w:r>
    </w:p>
    <w:p w:rsidR="00C213F8" w:rsidRDefault="00C213F8">
      <w:pPr>
        <w:rPr>
          <w:lang w:val="en-US"/>
        </w:rPr>
      </w:pPr>
      <w:r>
        <w:rPr>
          <w:lang w:val="en-US"/>
        </w:rPr>
        <w:t>S6: Results for sample B from different analytical procedures</w:t>
      </w:r>
    </w:p>
    <w:p w:rsidR="00C213F8" w:rsidRDefault="00C213F8">
      <w:pPr>
        <w:rPr>
          <w:lang w:val="en-US"/>
        </w:rPr>
      </w:pPr>
      <w:r>
        <w:rPr>
          <w:lang w:val="en-US"/>
        </w:rPr>
        <w:t>S7: Results for sample C from different analytical procedures (series C)</w:t>
      </w:r>
    </w:p>
    <w:p w:rsidR="00C213F8" w:rsidRDefault="00C213F8">
      <w:pPr>
        <w:rPr>
          <w:lang w:val="en-US"/>
        </w:rPr>
      </w:pPr>
      <w:r>
        <w:rPr>
          <w:lang w:val="en-US"/>
        </w:rPr>
        <w:t>S8: Results for propiconazole and tebuconazole in sample C from HPLC analysis (series 2)</w:t>
      </w:r>
    </w:p>
    <w:p w:rsidR="00C213F8" w:rsidRDefault="00C213F8">
      <w:pPr>
        <w:rPr>
          <w:lang w:val="en-US"/>
        </w:rPr>
      </w:pPr>
      <w:r>
        <w:rPr>
          <w:lang w:val="en-US"/>
        </w:rPr>
        <w:t>S9: Results for permethrin in sample C from HPLC analysis (series 2)</w:t>
      </w:r>
    </w:p>
    <w:p w:rsidR="00C213F8" w:rsidRDefault="00C213F8">
      <w:pPr>
        <w:rPr>
          <w:lang w:val="en-US"/>
        </w:rPr>
      </w:pPr>
    </w:p>
    <w:p w:rsidR="00C213F8" w:rsidRDefault="00C213F8">
      <w:pPr>
        <w:rPr>
          <w:lang w:val="en-US"/>
        </w:rPr>
      </w:pPr>
    </w:p>
    <w:p w:rsidR="00C213F8" w:rsidRPr="00C213F8" w:rsidRDefault="00C213F8">
      <w:pPr>
        <w:rPr>
          <w:lang w:val="en-US"/>
        </w:rPr>
      </w:pPr>
    </w:p>
    <w:p w:rsidR="00572134" w:rsidRPr="00C213F8" w:rsidRDefault="00C213F8">
      <w:pPr>
        <w:rPr>
          <w:lang w:val="en-US"/>
        </w:rPr>
      </w:pPr>
      <w:r>
        <w:rPr>
          <w:lang w:val="en-US"/>
        </w:rPr>
        <w:t>For Tables S2 to S9 see Excel-file ‘supplementary material tables S2 to S9’</w:t>
      </w:r>
    </w:p>
    <w:p w:rsidR="00572134" w:rsidRPr="00C213F8" w:rsidRDefault="00572134">
      <w:pPr>
        <w:rPr>
          <w:lang w:val="en-US"/>
        </w:rPr>
      </w:pPr>
    </w:p>
    <w:p w:rsidR="00572134" w:rsidRPr="00C213F8" w:rsidRDefault="00572134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C213F8" w:rsidRDefault="005C5FDD">
      <w:pPr>
        <w:rPr>
          <w:lang w:val="en-US"/>
        </w:rPr>
      </w:pPr>
    </w:p>
    <w:p w:rsidR="005C5FDD" w:rsidRPr="005C5FDD" w:rsidRDefault="00C213F8" w:rsidP="005C5FDD">
      <w:pPr>
        <w:rPr>
          <w:b/>
          <w:lang w:val="en-US"/>
        </w:rPr>
      </w:pPr>
      <w:r>
        <w:rPr>
          <w:b/>
          <w:lang w:val="en-US"/>
        </w:rPr>
        <w:lastRenderedPageBreak/>
        <w:t>S</w:t>
      </w:r>
      <w:r w:rsidR="005C5FDD" w:rsidRPr="005C5FDD">
        <w:rPr>
          <w:b/>
          <w:lang w:val="en-US"/>
        </w:rPr>
        <w:t>1: GC-MS (EI) mass spectra of tebuconazole, propiconazole and permethrin</w:t>
      </w:r>
    </w:p>
    <w:p w:rsidR="005C5FDD" w:rsidRDefault="005C5FDD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9BDA1BF" wp14:editId="6AF2F1A7">
            <wp:extent cx="3196590" cy="2283279"/>
            <wp:effectExtent l="0" t="0" r="3810" b="317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48" cy="228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>
      <w:pPr>
        <w:rPr>
          <w:lang w:val="en-US"/>
        </w:rPr>
      </w:pPr>
      <w:r>
        <w:rPr>
          <w:lang w:val="en-US"/>
        </w:rPr>
        <w:t>Figure S1-1: Mass spectrum of tebuconazole</w:t>
      </w:r>
    </w:p>
    <w:p w:rsidR="005C5FDD" w:rsidRDefault="005C5FDD">
      <w:pPr>
        <w:rPr>
          <w:lang w:val="en-US"/>
        </w:rPr>
      </w:pPr>
    </w:p>
    <w:p w:rsidR="005C5FDD" w:rsidRDefault="005C5FDD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DEB1E3D" wp14:editId="5FF3C26E">
            <wp:extent cx="3196590" cy="2283279"/>
            <wp:effectExtent l="0" t="0" r="3810" b="317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01" cy="228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>
      <w:pPr>
        <w:rPr>
          <w:lang w:val="en-US"/>
        </w:rPr>
      </w:pPr>
      <w:r>
        <w:rPr>
          <w:lang w:val="en-US"/>
        </w:rPr>
        <w:t>Figure S1-2: Mass spectrum of propiconazole</w:t>
      </w:r>
    </w:p>
    <w:p w:rsidR="005C5FDD" w:rsidRDefault="005C5FDD">
      <w:pPr>
        <w:rPr>
          <w:lang w:val="en-US"/>
        </w:rPr>
      </w:pPr>
    </w:p>
    <w:p w:rsidR="005C5FDD" w:rsidRDefault="005C5FDD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68454C2" wp14:editId="7DB48D62">
            <wp:extent cx="3196590" cy="2283279"/>
            <wp:effectExtent l="0" t="0" r="3810" b="317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33" cy="229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>
      <w:pPr>
        <w:rPr>
          <w:lang w:val="en-US"/>
        </w:rPr>
      </w:pPr>
      <w:r>
        <w:rPr>
          <w:lang w:val="en-US"/>
        </w:rPr>
        <w:t>Figure S1-3: Mass spectrum of permethrin</w:t>
      </w:r>
      <w:bookmarkStart w:id="0" w:name="_GoBack"/>
      <w:bookmarkEnd w:id="0"/>
    </w:p>
    <w:sectPr w:rsidR="005C5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15"/>
    <w:rsid w:val="00293869"/>
    <w:rsid w:val="00572134"/>
    <w:rsid w:val="005C5FDD"/>
    <w:rsid w:val="00661AB4"/>
    <w:rsid w:val="00946F1E"/>
    <w:rsid w:val="00AC2015"/>
    <w:rsid w:val="00B90EF2"/>
    <w:rsid w:val="00C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46AB-B2C2-4677-9D1E-6FBE8EAB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1A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Schoknecht, Ute</dc:creator>
  <cp:keywords/>
  <dc:description/>
  <cp:lastModifiedBy>Schoknecht, Ute</cp:lastModifiedBy>
  <cp:revision>2</cp:revision>
  <dcterms:created xsi:type="dcterms:W3CDTF">2019-10-09T07:01:00Z</dcterms:created>
  <dcterms:modified xsi:type="dcterms:W3CDTF">2019-10-09T07:01:00Z</dcterms:modified>
</cp:coreProperties>
</file>