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6A" w:rsidRDefault="00DA7D6A" w:rsidP="00DA7D6A">
      <w:pPr>
        <w:pStyle w:val="Appendix"/>
        <w:spacing w:line="480" w:lineRule="auto"/>
      </w:pPr>
      <w:bookmarkStart w:id="0" w:name="_Ref54277098"/>
      <w:bookmarkStart w:id="1" w:name="_Ref54636116"/>
      <w:r>
        <w:t>Appendix A</w:t>
      </w:r>
      <w:r>
        <w:t xml:space="preserve">: </w:t>
      </w:r>
      <w:r w:rsidRPr="0088676B">
        <w:t>Implementation dates of containment measures</w:t>
      </w:r>
    </w:p>
    <w:p w:rsidR="00DA7D6A" w:rsidRPr="00DA7D6A" w:rsidRDefault="00DA7D6A" w:rsidP="00DA7D6A">
      <w:pPr>
        <w:keepNext/>
        <w:spacing w:after="200" w:line="480" w:lineRule="auto"/>
        <w:jc w:val="both"/>
        <w:rPr>
          <w:rFonts w:cstheme="minorHAnsi"/>
          <w:sz w:val="24"/>
          <w:szCs w:val="24"/>
          <w:lang w:val="en-US"/>
        </w:rPr>
      </w:pPr>
      <w:bookmarkStart w:id="2" w:name="_Ref54090719"/>
      <w:bookmarkEnd w:id="0"/>
      <w:bookmarkEnd w:id="1"/>
      <w:r w:rsidRPr="00DA7D6A">
        <w:rPr>
          <w:rFonts w:cstheme="minorHAnsi"/>
          <w:b/>
          <w:sz w:val="24"/>
          <w:szCs w:val="24"/>
          <w:lang w:val="en-US"/>
        </w:rPr>
        <w:t>Table A1</w:t>
      </w:r>
      <w:bookmarkEnd w:id="2"/>
      <w:r w:rsidRPr="00DA7D6A">
        <w:rPr>
          <w:rFonts w:cstheme="minorHAnsi"/>
          <w:b/>
          <w:sz w:val="24"/>
          <w:szCs w:val="24"/>
          <w:lang w:val="en-US"/>
        </w:rPr>
        <w:t>:</w:t>
      </w:r>
      <w:r w:rsidRPr="00DA7D6A">
        <w:rPr>
          <w:rFonts w:cstheme="minorHAnsi"/>
          <w:sz w:val="24"/>
          <w:szCs w:val="24"/>
          <w:lang w:val="en-US"/>
        </w:rPr>
        <w:t xml:space="preserve"> Implementation dates of containment measures at federal state level</w:t>
      </w:r>
    </w:p>
    <w:tbl>
      <w:tblPr>
        <w:tblW w:w="9072"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85"/>
        <w:gridCol w:w="847"/>
        <w:gridCol w:w="961"/>
        <w:gridCol w:w="1319"/>
        <w:gridCol w:w="1011"/>
        <w:gridCol w:w="1056"/>
        <w:gridCol w:w="1185"/>
        <w:gridCol w:w="708"/>
      </w:tblGrid>
      <w:tr w:rsidR="00DA7D6A" w:rsidRPr="00DA7D6A" w:rsidTr="00D249F5">
        <w:trPr>
          <w:trHeight w:val="285"/>
          <w:jc w:val="center"/>
        </w:trPr>
        <w:tc>
          <w:tcPr>
            <w:tcW w:w="1985" w:type="dxa"/>
            <w:tcBorders>
              <w:top w:val="single" w:sz="4" w:space="0" w:color="auto"/>
              <w:bottom w:val="single" w:sz="4" w:space="0" w:color="auto"/>
            </w:tcBorders>
            <w:shd w:val="clear" w:color="auto" w:fill="auto"/>
            <w:noWrap/>
            <w:hideMark/>
          </w:tcPr>
          <w:p w:rsidR="00DA7D6A" w:rsidRPr="00DA7D6A" w:rsidRDefault="00DA7D6A" w:rsidP="00DA7D6A">
            <w:pPr>
              <w:spacing w:after="0" w:line="480" w:lineRule="auto"/>
              <w:rPr>
                <w:rFonts w:eastAsia="Times New Roman" w:cstheme="minorHAnsi"/>
                <w:b/>
                <w:color w:val="000000"/>
                <w:sz w:val="20"/>
                <w:szCs w:val="20"/>
                <w:lang w:eastAsia="de-DE"/>
              </w:rPr>
            </w:pPr>
            <w:r w:rsidRPr="00DA7D6A">
              <w:rPr>
                <w:rFonts w:eastAsia="Times New Roman" w:cstheme="minorHAnsi"/>
                <w:b/>
                <w:color w:val="000000"/>
                <w:sz w:val="20"/>
                <w:szCs w:val="20"/>
                <w:lang w:eastAsia="de-DE"/>
              </w:rPr>
              <w:t xml:space="preserve">Federal </w:t>
            </w:r>
            <w:proofErr w:type="spellStart"/>
            <w:r w:rsidRPr="00DA7D6A">
              <w:rPr>
                <w:rFonts w:eastAsia="Times New Roman" w:cstheme="minorHAnsi"/>
                <w:b/>
                <w:color w:val="000000"/>
                <w:sz w:val="20"/>
                <w:szCs w:val="20"/>
                <w:lang w:eastAsia="de-DE"/>
              </w:rPr>
              <w:t>state</w:t>
            </w:r>
            <w:proofErr w:type="spellEnd"/>
          </w:p>
        </w:tc>
        <w:tc>
          <w:tcPr>
            <w:tcW w:w="847" w:type="dxa"/>
            <w:tcBorders>
              <w:top w:val="single" w:sz="4" w:space="0" w:color="auto"/>
              <w:bottom w:val="single" w:sz="4" w:space="0" w:color="auto"/>
            </w:tcBorders>
          </w:tcPr>
          <w:p w:rsidR="00DA7D6A" w:rsidRPr="00DA7D6A" w:rsidRDefault="00DA7D6A" w:rsidP="00DA7D6A">
            <w:pPr>
              <w:spacing w:after="0" w:line="480" w:lineRule="auto"/>
              <w:jc w:val="center"/>
              <w:rPr>
                <w:rFonts w:eastAsia="Times New Roman" w:cstheme="minorHAnsi"/>
                <w:b/>
                <w:color w:val="000000"/>
                <w:sz w:val="20"/>
                <w:szCs w:val="20"/>
                <w:lang w:eastAsia="de-DE"/>
              </w:rPr>
            </w:pPr>
            <w:r w:rsidRPr="00DA7D6A">
              <w:rPr>
                <w:rFonts w:eastAsia="Times New Roman" w:cstheme="minorHAnsi"/>
                <w:b/>
                <w:color w:val="000000"/>
                <w:sz w:val="20"/>
                <w:szCs w:val="20"/>
                <w:lang w:eastAsia="de-DE"/>
              </w:rPr>
              <w:t xml:space="preserve"># NUTS-3 </w:t>
            </w:r>
            <w:proofErr w:type="spellStart"/>
            <w:r w:rsidRPr="00DA7D6A">
              <w:rPr>
                <w:rFonts w:eastAsia="Times New Roman" w:cstheme="minorHAnsi"/>
                <w:b/>
                <w:color w:val="000000"/>
                <w:sz w:val="20"/>
                <w:szCs w:val="20"/>
                <w:lang w:eastAsia="de-DE"/>
              </w:rPr>
              <w:t>districts</w:t>
            </w:r>
            <w:proofErr w:type="spellEnd"/>
          </w:p>
        </w:tc>
        <w:tc>
          <w:tcPr>
            <w:tcW w:w="961" w:type="dxa"/>
            <w:tcBorders>
              <w:top w:val="single" w:sz="4" w:space="0" w:color="auto"/>
              <w:bottom w:val="single" w:sz="4" w:space="0" w:color="auto"/>
            </w:tcBorders>
          </w:tcPr>
          <w:p w:rsidR="00DA7D6A" w:rsidRPr="00DA7D6A" w:rsidRDefault="00DA7D6A" w:rsidP="00DA7D6A">
            <w:pPr>
              <w:spacing w:after="0" w:line="480" w:lineRule="auto"/>
              <w:jc w:val="center"/>
              <w:rPr>
                <w:rFonts w:eastAsia="Times New Roman" w:cstheme="minorHAnsi"/>
                <w:b/>
                <w:color w:val="000000"/>
                <w:sz w:val="20"/>
                <w:szCs w:val="20"/>
                <w:lang w:eastAsia="de-DE"/>
              </w:rPr>
            </w:pPr>
            <w:r w:rsidRPr="00DA7D6A">
              <w:rPr>
                <w:rFonts w:eastAsia="Times New Roman" w:cstheme="minorHAnsi"/>
                <w:b/>
                <w:color w:val="000000"/>
                <w:sz w:val="20"/>
                <w:szCs w:val="20"/>
                <w:lang w:eastAsia="de-DE"/>
              </w:rPr>
              <w:t xml:space="preserve">School </w:t>
            </w:r>
            <w:proofErr w:type="spellStart"/>
            <w:r w:rsidRPr="00DA7D6A">
              <w:rPr>
                <w:rFonts w:eastAsia="Times New Roman" w:cstheme="minorHAnsi"/>
                <w:b/>
                <w:color w:val="000000"/>
                <w:sz w:val="20"/>
                <w:szCs w:val="20"/>
                <w:lang w:eastAsia="de-DE"/>
              </w:rPr>
              <w:t>closure</w:t>
            </w:r>
            <w:proofErr w:type="spellEnd"/>
          </w:p>
        </w:tc>
        <w:tc>
          <w:tcPr>
            <w:tcW w:w="1319" w:type="dxa"/>
            <w:tcBorders>
              <w:top w:val="single" w:sz="4" w:space="0" w:color="auto"/>
              <w:bottom w:val="single" w:sz="4" w:space="0" w:color="auto"/>
            </w:tcBorders>
          </w:tcPr>
          <w:p w:rsidR="00DA7D6A" w:rsidRPr="00DA7D6A" w:rsidRDefault="00DA7D6A" w:rsidP="00DA7D6A">
            <w:pPr>
              <w:spacing w:after="0" w:line="480" w:lineRule="auto"/>
              <w:jc w:val="center"/>
              <w:rPr>
                <w:rFonts w:eastAsia="Times New Roman" w:cstheme="minorHAnsi"/>
                <w:b/>
                <w:color w:val="000000"/>
                <w:sz w:val="20"/>
                <w:szCs w:val="20"/>
                <w:lang w:eastAsia="de-DE"/>
              </w:rPr>
            </w:pPr>
            <w:r w:rsidRPr="00DA7D6A">
              <w:rPr>
                <w:rFonts w:eastAsia="Times New Roman" w:cstheme="minorHAnsi"/>
                <w:b/>
                <w:color w:val="000000"/>
                <w:sz w:val="20"/>
                <w:szCs w:val="20"/>
                <w:lang w:eastAsia="de-DE"/>
              </w:rPr>
              <w:t xml:space="preserve">Establishment </w:t>
            </w:r>
            <w:proofErr w:type="spellStart"/>
            <w:r w:rsidRPr="00DA7D6A">
              <w:rPr>
                <w:rFonts w:eastAsia="Times New Roman" w:cstheme="minorHAnsi"/>
                <w:b/>
                <w:color w:val="000000"/>
                <w:sz w:val="20"/>
                <w:szCs w:val="20"/>
                <w:lang w:eastAsia="de-DE"/>
              </w:rPr>
              <w:t>closure</w:t>
            </w:r>
            <w:proofErr w:type="spellEnd"/>
          </w:p>
        </w:tc>
        <w:tc>
          <w:tcPr>
            <w:tcW w:w="1011" w:type="dxa"/>
            <w:tcBorders>
              <w:top w:val="single" w:sz="4" w:space="0" w:color="auto"/>
              <w:bottom w:val="single" w:sz="4" w:space="0" w:color="auto"/>
            </w:tcBorders>
          </w:tcPr>
          <w:p w:rsidR="00DA7D6A" w:rsidRPr="00DA7D6A" w:rsidRDefault="00DA7D6A" w:rsidP="00DA7D6A">
            <w:pPr>
              <w:spacing w:after="0" w:line="480" w:lineRule="auto"/>
              <w:jc w:val="center"/>
              <w:rPr>
                <w:rFonts w:eastAsia="Times New Roman" w:cstheme="minorHAnsi"/>
                <w:b/>
                <w:color w:val="000000"/>
                <w:sz w:val="20"/>
                <w:szCs w:val="20"/>
                <w:lang w:eastAsia="de-DE"/>
              </w:rPr>
            </w:pPr>
            <w:r w:rsidRPr="00DA7D6A">
              <w:rPr>
                <w:rFonts w:eastAsia="Times New Roman" w:cstheme="minorHAnsi"/>
                <w:b/>
                <w:color w:val="000000"/>
                <w:sz w:val="20"/>
                <w:szCs w:val="20"/>
                <w:lang w:eastAsia="de-DE"/>
              </w:rPr>
              <w:t xml:space="preserve">Shopping </w:t>
            </w:r>
            <w:proofErr w:type="spellStart"/>
            <w:r w:rsidRPr="00DA7D6A">
              <w:rPr>
                <w:rFonts w:eastAsia="Times New Roman" w:cstheme="minorHAnsi"/>
                <w:b/>
                <w:color w:val="000000"/>
                <w:sz w:val="20"/>
                <w:szCs w:val="20"/>
                <w:lang w:eastAsia="de-DE"/>
              </w:rPr>
              <w:t>mall</w:t>
            </w:r>
            <w:proofErr w:type="spellEnd"/>
            <w:r w:rsidRPr="00DA7D6A">
              <w:rPr>
                <w:rFonts w:eastAsia="Times New Roman" w:cstheme="minorHAnsi"/>
                <w:b/>
                <w:color w:val="000000"/>
                <w:sz w:val="20"/>
                <w:szCs w:val="20"/>
                <w:lang w:eastAsia="de-DE"/>
              </w:rPr>
              <w:t xml:space="preserve"> </w:t>
            </w:r>
            <w:proofErr w:type="spellStart"/>
            <w:r w:rsidRPr="00DA7D6A">
              <w:rPr>
                <w:rFonts w:eastAsia="Times New Roman" w:cstheme="minorHAnsi"/>
                <w:b/>
                <w:color w:val="000000"/>
                <w:sz w:val="20"/>
                <w:szCs w:val="20"/>
                <w:lang w:eastAsia="de-DE"/>
              </w:rPr>
              <w:t>closure</w:t>
            </w:r>
            <w:proofErr w:type="spellEnd"/>
          </w:p>
        </w:tc>
        <w:tc>
          <w:tcPr>
            <w:tcW w:w="1056" w:type="dxa"/>
            <w:tcBorders>
              <w:top w:val="single" w:sz="4" w:space="0" w:color="auto"/>
              <w:bottom w:val="single" w:sz="4" w:space="0" w:color="auto"/>
            </w:tcBorders>
          </w:tcPr>
          <w:p w:rsidR="00DA7D6A" w:rsidRPr="00DA7D6A" w:rsidRDefault="00DA7D6A" w:rsidP="00DA7D6A">
            <w:pPr>
              <w:spacing w:after="0" w:line="480" w:lineRule="auto"/>
              <w:jc w:val="center"/>
              <w:rPr>
                <w:rFonts w:eastAsia="Times New Roman" w:cstheme="minorHAnsi"/>
                <w:b/>
                <w:color w:val="000000"/>
                <w:sz w:val="20"/>
                <w:szCs w:val="20"/>
                <w:lang w:eastAsia="de-DE"/>
              </w:rPr>
            </w:pPr>
            <w:r w:rsidRPr="00DA7D6A">
              <w:rPr>
                <w:rFonts w:eastAsia="Times New Roman" w:cstheme="minorHAnsi"/>
                <w:b/>
                <w:color w:val="000000"/>
                <w:sz w:val="20"/>
                <w:szCs w:val="20"/>
                <w:lang w:eastAsia="de-DE"/>
              </w:rPr>
              <w:t xml:space="preserve">Restaurant </w:t>
            </w:r>
            <w:proofErr w:type="spellStart"/>
            <w:r w:rsidRPr="00DA7D6A">
              <w:rPr>
                <w:rFonts w:eastAsia="Times New Roman" w:cstheme="minorHAnsi"/>
                <w:b/>
                <w:color w:val="000000"/>
                <w:sz w:val="20"/>
                <w:szCs w:val="20"/>
                <w:lang w:eastAsia="de-DE"/>
              </w:rPr>
              <w:t>closure</w:t>
            </w:r>
            <w:proofErr w:type="spellEnd"/>
          </w:p>
        </w:tc>
        <w:tc>
          <w:tcPr>
            <w:tcW w:w="1185" w:type="dxa"/>
            <w:tcBorders>
              <w:top w:val="single" w:sz="4" w:space="0" w:color="auto"/>
              <w:bottom w:val="single" w:sz="4" w:space="0" w:color="auto"/>
            </w:tcBorders>
            <w:shd w:val="clear" w:color="auto" w:fill="auto"/>
            <w:noWrap/>
            <w:hideMark/>
          </w:tcPr>
          <w:p w:rsidR="00DA7D6A" w:rsidRPr="00DA7D6A" w:rsidRDefault="00DA7D6A" w:rsidP="00DA7D6A">
            <w:pPr>
              <w:spacing w:after="0" w:line="480" w:lineRule="auto"/>
              <w:jc w:val="center"/>
              <w:rPr>
                <w:rFonts w:eastAsia="Times New Roman" w:cstheme="minorHAnsi"/>
                <w:b/>
                <w:color w:val="000000"/>
                <w:sz w:val="20"/>
                <w:szCs w:val="20"/>
                <w:lang w:eastAsia="de-DE"/>
              </w:rPr>
            </w:pPr>
            <w:proofErr w:type="spellStart"/>
            <w:r w:rsidRPr="00DA7D6A">
              <w:rPr>
                <w:rFonts w:eastAsia="Times New Roman" w:cstheme="minorHAnsi"/>
                <w:b/>
                <w:color w:val="000000"/>
                <w:sz w:val="20"/>
                <w:szCs w:val="20"/>
                <w:lang w:eastAsia="de-DE"/>
              </w:rPr>
              <w:t>Contact</w:t>
            </w:r>
            <w:proofErr w:type="spellEnd"/>
            <w:r w:rsidRPr="00DA7D6A">
              <w:rPr>
                <w:rFonts w:eastAsia="Times New Roman" w:cstheme="minorHAnsi"/>
                <w:b/>
                <w:color w:val="000000"/>
                <w:sz w:val="20"/>
                <w:szCs w:val="20"/>
                <w:lang w:eastAsia="de-DE"/>
              </w:rPr>
              <w:t xml:space="preserve"> </w:t>
            </w:r>
            <w:proofErr w:type="spellStart"/>
            <w:r w:rsidRPr="00DA7D6A">
              <w:rPr>
                <w:rFonts w:eastAsia="Times New Roman" w:cstheme="minorHAnsi"/>
                <w:b/>
                <w:color w:val="000000"/>
                <w:sz w:val="20"/>
                <w:szCs w:val="20"/>
                <w:lang w:eastAsia="de-DE"/>
              </w:rPr>
              <w:t>restrictions</w:t>
            </w:r>
            <w:proofErr w:type="spellEnd"/>
          </w:p>
        </w:tc>
        <w:tc>
          <w:tcPr>
            <w:tcW w:w="708" w:type="dxa"/>
            <w:tcBorders>
              <w:top w:val="single" w:sz="4" w:space="0" w:color="auto"/>
              <w:bottom w:val="single" w:sz="4" w:space="0" w:color="auto"/>
            </w:tcBorders>
            <w:shd w:val="clear" w:color="auto" w:fill="auto"/>
            <w:noWrap/>
            <w:hideMark/>
          </w:tcPr>
          <w:p w:rsidR="00DA7D6A" w:rsidRPr="00DA7D6A" w:rsidRDefault="00DA7D6A" w:rsidP="00DA7D6A">
            <w:pPr>
              <w:spacing w:after="0" w:line="480" w:lineRule="auto"/>
              <w:jc w:val="center"/>
              <w:rPr>
                <w:rFonts w:eastAsia="Times New Roman" w:cstheme="minorHAnsi"/>
                <w:b/>
                <w:color w:val="000000"/>
                <w:sz w:val="20"/>
                <w:szCs w:val="20"/>
                <w:lang w:eastAsia="de-DE"/>
              </w:rPr>
            </w:pPr>
            <w:r w:rsidRPr="00DA7D6A">
              <w:rPr>
                <w:rFonts w:eastAsia="Times New Roman" w:cstheme="minorHAnsi"/>
                <w:b/>
                <w:color w:val="000000"/>
                <w:sz w:val="20"/>
                <w:szCs w:val="20"/>
                <w:lang w:eastAsia="de-DE"/>
              </w:rPr>
              <w:t xml:space="preserve">Face </w:t>
            </w:r>
            <w:proofErr w:type="spellStart"/>
            <w:r w:rsidRPr="00DA7D6A">
              <w:rPr>
                <w:rFonts w:eastAsia="Times New Roman" w:cstheme="minorHAnsi"/>
                <w:b/>
                <w:color w:val="000000"/>
                <w:sz w:val="20"/>
                <w:szCs w:val="20"/>
                <w:lang w:eastAsia="de-DE"/>
              </w:rPr>
              <w:t>mask</w:t>
            </w:r>
            <w:proofErr w:type="spellEnd"/>
            <w:r w:rsidRPr="00DA7D6A">
              <w:rPr>
                <w:rFonts w:eastAsia="Times New Roman" w:cstheme="minorHAnsi"/>
                <w:b/>
                <w:color w:val="000000"/>
                <w:sz w:val="20"/>
                <w:szCs w:val="20"/>
                <w:lang w:eastAsia="de-DE"/>
              </w:rPr>
              <w:t xml:space="preserve"> </w:t>
            </w:r>
            <w:proofErr w:type="spellStart"/>
            <w:r w:rsidRPr="00DA7D6A">
              <w:rPr>
                <w:rFonts w:eastAsia="Times New Roman" w:cstheme="minorHAnsi"/>
                <w:b/>
                <w:color w:val="000000"/>
                <w:sz w:val="20"/>
                <w:szCs w:val="20"/>
                <w:lang w:eastAsia="de-DE"/>
              </w:rPr>
              <w:t>duty</w:t>
            </w:r>
            <w:proofErr w:type="spellEnd"/>
          </w:p>
        </w:tc>
      </w:tr>
      <w:tr w:rsidR="00DA7D6A" w:rsidRPr="00DA7D6A" w:rsidTr="00D249F5">
        <w:trPr>
          <w:trHeight w:val="285"/>
          <w:jc w:val="center"/>
        </w:trPr>
        <w:tc>
          <w:tcPr>
            <w:tcW w:w="1985" w:type="dxa"/>
            <w:tcBorders>
              <w:top w:val="single" w:sz="4" w:space="0" w:color="auto"/>
            </w:tcBorders>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Baden-</w:t>
            </w:r>
            <w:proofErr w:type="spellStart"/>
            <w:r w:rsidRPr="00DA7D6A">
              <w:rPr>
                <w:rFonts w:eastAsia="Times New Roman" w:cstheme="minorHAnsi"/>
                <w:color w:val="000000"/>
                <w:sz w:val="20"/>
                <w:szCs w:val="20"/>
                <w:lang w:eastAsia="de-DE"/>
              </w:rPr>
              <w:t>Wurttemberg</w:t>
            </w:r>
            <w:proofErr w:type="spellEnd"/>
          </w:p>
        </w:tc>
        <w:tc>
          <w:tcPr>
            <w:tcW w:w="847" w:type="dxa"/>
            <w:tcBorders>
              <w:top w:val="single" w:sz="4" w:space="0" w:color="auto"/>
            </w:tcBorders>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44</w:t>
            </w:r>
          </w:p>
        </w:tc>
        <w:tc>
          <w:tcPr>
            <w:tcW w:w="961" w:type="dxa"/>
            <w:tcBorders>
              <w:top w:val="single" w:sz="4" w:space="0" w:color="auto"/>
            </w:tcBorders>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17.03.</w:t>
            </w:r>
          </w:p>
        </w:tc>
        <w:tc>
          <w:tcPr>
            <w:tcW w:w="1319" w:type="dxa"/>
            <w:tcBorders>
              <w:top w:val="single" w:sz="4" w:space="0" w:color="auto"/>
            </w:tcBorders>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17.03.</w:t>
            </w:r>
          </w:p>
        </w:tc>
        <w:tc>
          <w:tcPr>
            <w:tcW w:w="1011" w:type="dxa"/>
            <w:tcBorders>
              <w:top w:val="single" w:sz="4" w:space="0" w:color="auto"/>
            </w:tcBorders>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tcBorders>
              <w:top w:val="single" w:sz="4" w:space="0" w:color="auto"/>
            </w:tcBorders>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21.03.</w:t>
            </w:r>
          </w:p>
        </w:tc>
        <w:tc>
          <w:tcPr>
            <w:tcW w:w="1185" w:type="dxa"/>
            <w:tcBorders>
              <w:top w:val="single" w:sz="4" w:space="0" w:color="auto"/>
            </w:tcBorders>
            <w:shd w:val="clear" w:color="000000" w:fill="FFFFFF"/>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tcBorders>
              <w:top w:val="single" w:sz="4" w:space="0" w:color="auto"/>
            </w:tcBorders>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Bavaria</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96</w:t>
            </w:r>
          </w:p>
        </w:tc>
        <w:tc>
          <w:tcPr>
            <w:tcW w:w="96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16.03.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17.03.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21.03.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21.03.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Berlin</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w:t>
            </w:r>
          </w:p>
        </w:tc>
        <w:tc>
          <w:tcPr>
            <w:tcW w:w="96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17.03.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15.03.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23.03.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22.03.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Brandenburg</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w:t>
            </w:r>
          </w:p>
        </w:tc>
        <w:tc>
          <w:tcPr>
            <w:tcW w:w="96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23.03.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bookmarkStart w:id="3" w:name="_GoBack"/>
            <w:bookmarkEnd w:id="3"/>
            <w:r w:rsidRPr="00DA7D6A">
              <w:rPr>
                <w:rFonts w:eastAsia="Times New Roman" w:cstheme="minorHAnsi"/>
                <w:color w:val="000000"/>
                <w:sz w:val="20"/>
                <w:szCs w:val="20"/>
                <w:lang w:eastAsia="de-DE"/>
              </w:rPr>
              <w:t>Bremen</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w:t>
            </w:r>
          </w:p>
        </w:tc>
        <w:tc>
          <w:tcPr>
            <w:tcW w:w="961"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18.03.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21.03.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Hamburg</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w:t>
            </w:r>
          </w:p>
        </w:tc>
        <w:tc>
          <w:tcPr>
            <w:tcW w:w="961"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17.03.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21.03.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auto" w:fill="auto"/>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Hesse</w:t>
            </w:r>
          </w:p>
        </w:tc>
        <w:tc>
          <w:tcPr>
            <w:tcW w:w="847"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26</w:t>
            </w:r>
          </w:p>
        </w:tc>
        <w:tc>
          <w:tcPr>
            <w:tcW w:w="961" w:type="dxa"/>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319" w:type="dxa"/>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18.03.</w:t>
            </w:r>
          </w:p>
        </w:tc>
        <w:tc>
          <w:tcPr>
            <w:tcW w:w="1011"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21.03.</w:t>
            </w:r>
          </w:p>
        </w:tc>
        <w:tc>
          <w:tcPr>
            <w:tcW w:w="1185" w:type="dxa"/>
            <w:shd w:val="clear" w:color="auto" w:fill="auto"/>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shd w:val="clear" w:color="auto" w:fill="auto"/>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tcPr>
          <w:p w:rsidR="00DA7D6A" w:rsidRPr="00DA7D6A" w:rsidRDefault="00DA7D6A" w:rsidP="00DA7D6A">
            <w:pPr>
              <w:spacing w:after="0" w:line="480" w:lineRule="auto"/>
              <w:rPr>
                <w:rFonts w:eastAsia="Times New Roman" w:cstheme="minorHAnsi"/>
                <w:color w:val="000000"/>
                <w:sz w:val="20"/>
                <w:szCs w:val="20"/>
                <w:lang w:eastAsia="de-DE"/>
              </w:rPr>
            </w:pPr>
            <w:proofErr w:type="spellStart"/>
            <w:r w:rsidRPr="00DA7D6A">
              <w:rPr>
                <w:rFonts w:eastAsia="Times New Roman" w:cstheme="minorHAnsi"/>
                <w:color w:val="000000"/>
                <w:sz w:val="20"/>
                <w:szCs w:val="20"/>
                <w:lang w:eastAsia="de-DE"/>
              </w:rPr>
              <w:t>Lower</w:t>
            </w:r>
            <w:proofErr w:type="spellEnd"/>
            <w:r w:rsidRPr="00DA7D6A">
              <w:rPr>
                <w:rFonts w:eastAsia="Times New Roman" w:cstheme="minorHAnsi"/>
                <w:color w:val="000000"/>
                <w:sz w:val="20"/>
                <w:szCs w:val="20"/>
                <w:lang w:eastAsia="de-DE"/>
              </w:rPr>
              <w:t xml:space="preserve"> </w:t>
            </w:r>
            <w:proofErr w:type="spellStart"/>
            <w:r w:rsidRPr="00DA7D6A">
              <w:rPr>
                <w:rFonts w:eastAsia="Times New Roman" w:cstheme="minorHAnsi"/>
                <w:color w:val="000000"/>
                <w:sz w:val="20"/>
                <w:szCs w:val="20"/>
                <w:lang w:eastAsia="de-DE"/>
              </w:rPr>
              <w:t>Saxony</w:t>
            </w:r>
            <w:proofErr w:type="spellEnd"/>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45</w:t>
            </w:r>
          </w:p>
        </w:tc>
        <w:tc>
          <w:tcPr>
            <w:tcW w:w="96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16.03.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17.03.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17.03.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20.03.</w:t>
            </w:r>
          </w:p>
        </w:tc>
        <w:tc>
          <w:tcPr>
            <w:tcW w:w="1185" w:type="dxa"/>
            <w:shd w:val="clear" w:color="000000" w:fill="FFFFFF"/>
            <w:noWrap/>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shd w:val="clear" w:color="000000" w:fill="FFFFFF"/>
            <w:noWrap/>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 xml:space="preserve">Mecklenburg-W. </w:t>
            </w:r>
            <w:proofErr w:type="spellStart"/>
            <w:r w:rsidRPr="00DA7D6A">
              <w:rPr>
                <w:rFonts w:eastAsia="Times New Roman" w:cstheme="minorHAnsi"/>
                <w:color w:val="000000"/>
                <w:sz w:val="20"/>
                <w:szCs w:val="20"/>
                <w:lang w:eastAsia="de-DE"/>
              </w:rPr>
              <w:t>Pom</w:t>
            </w:r>
            <w:proofErr w:type="spellEnd"/>
            <w:r w:rsidRPr="00DA7D6A">
              <w:rPr>
                <w:rFonts w:eastAsia="Times New Roman" w:cstheme="minorHAnsi"/>
                <w:color w:val="000000"/>
                <w:sz w:val="20"/>
                <w:szCs w:val="20"/>
                <w:lang w:eastAsia="de-DE"/>
              </w:rPr>
              <w:t>.</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8</w:t>
            </w:r>
          </w:p>
        </w:tc>
        <w:tc>
          <w:tcPr>
            <w:tcW w:w="961"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18.03.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21.03.</w:t>
            </w:r>
          </w:p>
        </w:tc>
        <w:tc>
          <w:tcPr>
            <w:tcW w:w="1185" w:type="dxa"/>
            <w:shd w:val="clear" w:color="000000" w:fill="FFFFFF"/>
            <w:noWrap/>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shd w:val="clear" w:color="000000" w:fill="FFFFFF"/>
            <w:noWrap/>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North Rhine-</w:t>
            </w:r>
            <w:proofErr w:type="spellStart"/>
            <w:r w:rsidRPr="00DA7D6A">
              <w:rPr>
                <w:rFonts w:eastAsia="Times New Roman" w:cstheme="minorHAnsi"/>
                <w:color w:val="000000"/>
                <w:sz w:val="20"/>
                <w:szCs w:val="20"/>
                <w:lang w:eastAsia="de-DE"/>
              </w:rPr>
              <w:t>Westph</w:t>
            </w:r>
            <w:proofErr w:type="spellEnd"/>
            <w:r w:rsidRPr="00DA7D6A">
              <w:rPr>
                <w:rFonts w:eastAsia="Times New Roman" w:cstheme="minorHAnsi"/>
                <w:color w:val="000000"/>
                <w:sz w:val="20"/>
                <w:szCs w:val="20"/>
                <w:lang w:eastAsia="de-DE"/>
              </w:rPr>
              <w:t>.</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53</w:t>
            </w:r>
          </w:p>
        </w:tc>
        <w:tc>
          <w:tcPr>
            <w:tcW w:w="961"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23.03.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auto" w:fill="auto"/>
            <w:noWrap/>
            <w:hideMark/>
          </w:tcPr>
          <w:p w:rsidR="00DA7D6A" w:rsidRPr="00DA7D6A" w:rsidRDefault="00DA7D6A" w:rsidP="00DA7D6A">
            <w:pPr>
              <w:spacing w:after="0" w:line="480" w:lineRule="auto"/>
              <w:rPr>
                <w:rFonts w:eastAsia="Times New Roman" w:cstheme="minorHAnsi"/>
                <w:color w:val="000000"/>
                <w:sz w:val="20"/>
                <w:szCs w:val="20"/>
                <w:lang w:eastAsia="de-DE"/>
              </w:rPr>
            </w:pPr>
            <w:proofErr w:type="spellStart"/>
            <w:r w:rsidRPr="00DA7D6A">
              <w:rPr>
                <w:rFonts w:eastAsia="Times New Roman" w:cstheme="minorHAnsi"/>
                <w:color w:val="000000"/>
                <w:sz w:val="20"/>
                <w:szCs w:val="20"/>
                <w:lang w:eastAsia="de-DE"/>
              </w:rPr>
              <w:t>Rhineland</w:t>
            </w:r>
            <w:proofErr w:type="spellEnd"/>
            <w:r w:rsidRPr="00DA7D6A">
              <w:rPr>
                <w:rFonts w:eastAsia="Times New Roman" w:cstheme="minorHAnsi"/>
                <w:color w:val="000000"/>
                <w:sz w:val="20"/>
                <w:szCs w:val="20"/>
                <w:lang w:eastAsia="de-DE"/>
              </w:rPr>
              <w:t>-Palatinate</w:t>
            </w:r>
          </w:p>
        </w:tc>
        <w:tc>
          <w:tcPr>
            <w:tcW w:w="847"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36</w:t>
            </w:r>
          </w:p>
        </w:tc>
        <w:tc>
          <w:tcPr>
            <w:tcW w:w="961" w:type="dxa"/>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319" w:type="dxa"/>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18.03.</w:t>
            </w:r>
          </w:p>
        </w:tc>
        <w:tc>
          <w:tcPr>
            <w:tcW w:w="1011"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21.03.</w:t>
            </w:r>
          </w:p>
        </w:tc>
        <w:tc>
          <w:tcPr>
            <w:tcW w:w="1185" w:type="dxa"/>
            <w:shd w:val="clear" w:color="auto" w:fill="auto"/>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24.03.</w:t>
            </w:r>
          </w:p>
        </w:tc>
        <w:tc>
          <w:tcPr>
            <w:tcW w:w="708" w:type="dxa"/>
            <w:shd w:val="clear" w:color="auto" w:fill="auto"/>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auto" w:fill="auto"/>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Saarland</w:t>
            </w:r>
          </w:p>
        </w:tc>
        <w:tc>
          <w:tcPr>
            <w:tcW w:w="847"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6</w:t>
            </w:r>
          </w:p>
        </w:tc>
        <w:tc>
          <w:tcPr>
            <w:tcW w:w="961"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319"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11"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21.03.</w:t>
            </w:r>
          </w:p>
        </w:tc>
        <w:tc>
          <w:tcPr>
            <w:tcW w:w="1185" w:type="dxa"/>
            <w:shd w:val="clear" w:color="auto" w:fill="auto"/>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21.03.</w:t>
            </w:r>
          </w:p>
        </w:tc>
        <w:tc>
          <w:tcPr>
            <w:tcW w:w="708" w:type="dxa"/>
            <w:shd w:val="clear" w:color="auto" w:fill="auto"/>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27.04.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proofErr w:type="spellStart"/>
            <w:r w:rsidRPr="00DA7D6A">
              <w:rPr>
                <w:rFonts w:eastAsia="Times New Roman" w:cstheme="minorHAnsi"/>
                <w:color w:val="000000"/>
                <w:sz w:val="20"/>
                <w:szCs w:val="20"/>
                <w:lang w:eastAsia="de-DE"/>
              </w:rPr>
              <w:t>Saxony</w:t>
            </w:r>
            <w:proofErr w:type="spellEnd"/>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13</w:t>
            </w:r>
          </w:p>
        </w:tc>
        <w:tc>
          <w:tcPr>
            <w:tcW w:w="96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19.03.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19.03.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21.03.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20.04.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proofErr w:type="spellStart"/>
            <w:r w:rsidRPr="00DA7D6A">
              <w:rPr>
                <w:rFonts w:eastAsia="Times New Roman" w:cstheme="minorHAnsi"/>
                <w:color w:val="000000"/>
                <w:sz w:val="20"/>
                <w:szCs w:val="20"/>
                <w:lang w:eastAsia="de-DE"/>
              </w:rPr>
              <w:t>Saxony</w:t>
            </w:r>
            <w:proofErr w:type="spellEnd"/>
            <w:r w:rsidRPr="00DA7D6A">
              <w:rPr>
                <w:rFonts w:eastAsia="Times New Roman" w:cstheme="minorHAnsi"/>
                <w:color w:val="000000"/>
                <w:sz w:val="20"/>
                <w:szCs w:val="20"/>
                <w:lang w:eastAsia="de-DE"/>
              </w:rPr>
              <w:t>-Anhalt</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14</w:t>
            </w:r>
          </w:p>
        </w:tc>
        <w:tc>
          <w:tcPr>
            <w:tcW w:w="96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16.03.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25.03.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22.04.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r w:rsidRPr="00DA7D6A">
              <w:rPr>
                <w:rFonts w:eastAsia="Times New Roman" w:cstheme="minorHAnsi"/>
                <w:color w:val="000000"/>
                <w:sz w:val="20"/>
                <w:szCs w:val="20"/>
                <w:lang w:eastAsia="de-DE"/>
              </w:rPr>
              <w:t>Schleswig-Holstein</w:t>
            </w:r>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15</w:t>
            </w:r>
          </w:p>
        </w:tc>
        <w:tc>
          <w:tcPr>
            <w:tcW w:w="961"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15.03.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16.03.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18.03.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18.03.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23.03.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29.04.</w:t>
            </w:r>
          </w:p>
        </w:tc>
      </w:tr>
      <w:tr w:rsidR="00DA7D6A" w:rsidRPr="00DA7D6A" w:rsidTr="00D249F5">
        <w:trPr>
          <w:trHeight w:val="285"/>
          <w:jc w:val="center"/>
        </w:trPr>
        <w:tc>
          <w:tcPr>
            <w:tcW w:w="1985" w:type="dxa"/>
            <w:shd w:val="clear" w:color="000000" w:fill="FFFFFF"/>
            <w:noWrap/>
            <w:hideMark/>
          </w:tcPr>
          <w:p w:rsidR="00DA7D6A" w:rsidRPr="00DA7D6A" w:rsidRDefault="00DA7D6A" w:rsidP="00DA7D6A">
            <w:pPr>
              <w:spacing w:after="0" w:line="480" w:lineRule="auto"/>
              <w:rPr>
                <w:rFonts w:eastAsia="Times New Roman" w:cstheme="minorHAnsi"/>
                <w:color w:val="000000"/>
                <w:sz w:val="20"/>
                <w:szCs w:val="20"/>
                <w:lang w:eastAsia="de-DE"/>
              </w:rPr>
            </w:pPr>
            <w:proofErr w:type="spellStart"/>
            <w:r w:rsidRPr="00DA7D6A">
              <w:rPr>
                <w:rFonts w:eastAsia="Times New Roman" w:cstheme="minorHAnsi"/>
                <w:color w:val="000000"/>
                <w:sz w:val="20"/>
                <w:szCs w:val="20"/>
                <w:lang w:eastAsia="de-DE"/>
              </w:rPr>
              <w:t>Thuringia</w:t>
            </w:r>
            <w:proofErr w:type="spellEnd"/>
          </w:p>
        </w:tc>
        <w:tc>
          <w:tcPr>
            <w:tcW w:w="847"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23</w:t>
            </w:r>
          </w:p>
        </w:tc>
        <w:tc>
          <w:tcPr>
            <w:tcW w:w="961"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18.03.</w:t>
            </w:r>
          </w:p>
        </w:tc>
        <w:tc>
          <w:tcPr>
            <w:tcW w:w="1319"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17.03.</w:t>
            </w:r>
          </w:p>
        </w:tc>
        <w:tc>
          <w:tcPr>
            <w:tcW w:w="1011" w:type="dxa"/>
            <w:shd w:val="clear" w:color="000000" w:fill="FFFFFF"/>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20.03.</w:t>
            </w:r>
          </w:p>
        </w:tc>
        <w:tc>
          <w:tcPr>
            <w:tcW w:w="1056" w:type="dxa"/>
            <w:shd w:val="clear" w:color="000000" w:fill="FFFFFF"/>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color w:val="000000"/>
                <w:sz w:val="20"/>
                <w:szCs w:val="20"/>
                <w:lang w:eastAsia="de-DE"/>
              </w:rPr>
              <w:t>20.03.</w:t>
            </w:r>
          </w:p>
        </w:tc>
        <w:tc>
          <w:tcPr>
            <w:tcW w:w="1185" w:type="dxa"/>
            <w:shd w:val="clear" w:color="000000" w:fill="FFFFFF"/>
            <w:noWrap/>
            <w:hideMark/>
          </w:tcPr>
          <w:p w:rsidR="00DA7D6A" w:rsidRPr="00DA7D6A" w:rsidRDefault="00DA7D6A" w:rsidP="00DA7D6A">
            <w:pPr>
              <w:spacing w:after="0" w:line="480" w:lineRule="auto"/>
              <w:jc w:val="center"/>
              <w:rPr>
                <w:rFonts w:eastAsia="Times New Roman" w:cstheme="minorHAnsi"/>
                <w:sz w:val="20"/>
                <w:szCs w:val="20"/>
                <w:lang w:eastAsia="de-DE"/>
              </w:rPr>
            </w:pPr>
            <w:r w:rsidRPr="00DA7D6A">
              <w:rPr>
                <w:rFonts w:eastAsia="Times New Roman" w:cstheme="minorHAnsi"/>
                <w:sz w:val="20"/>
                <w:szCs w:val="20"/>
                <w:lang w:eastAsia="de-DE"/>
              </w:rPr>
              <w:t>25.03.</w:t>
            </w:r>
          </w:p>
        </w:tc>
        <w:tc>
          <w:tcPr>
            <w:tcW w:w="708" w:type="dxa"/>
            <w:shd w:val="clear" w:color="000000" w:fill="FFFFFF"/>
            <w:noWrap/>
            <w:hideMark/>
          </w:tcPr>
          <w:p w:rsidR="00DA7D6A" w:rsidRPr="00DA7D6A" w:rsidRDefault="00DA7D6A" w:rsidP="00DA7D6A">
            <w:pPr>
              <w:spacing w:after="0" w:line="480" w:lineRule="auto"/>
              <w:jc w:val="center"/>
              <w:rPr>
                <w:rFonts w:eastAsia="Times New Roman" w:cstheme="minorHAnsi"/>
                <w:color w:val="000000"/>
                <w:sz w:val="20"/>
                <w:szCs w:val="20"/>
                <w:lang w:eastAsia="de-DE"/>
              </w:rPr>
            </w:pPr>
            <w:r w:rsidRPr="00DA7D6A">
              <w:rPr>
                <w:rFonts w:eastAsia="Times New Roman" w:cstheme="minorHAnsi"/>
                <w:color w:val="000000"/>
                <w:sz w:val="20"/>
                <w:szCs w:val="20"/>
                <w:lang w:eastAsia="de-DE"/>
              </w:rPr>
              <w:t>24.04.</w:t>
            </w:r>
          </w:p>
        </w:tc>
      </w:tr>
    </w:tbl>
    <w:p w:rsidR="00DA7D6A" w:rsidRPr="00DA7D6A" w:rsidRDefault="00DA7D6A" w:rsidP="00DA7D6A">
      <w:pPr>
        <w:spacing w:before="60" w:after="0" w:line="360" w:lineRule="auto"/>
        <w:ind w:left="142"/>
        <w:jc w:val="both"/>
        <w:rPr>
          <w:rFonts w:ascii="Calibri" w:hAnsi="Calibri"/>
          <w:i/>
          <w:sz w:val="20"/>
          <w:szCs w:val="20"/>
          <w:lang w:val="en-US"/>
        </w:rPr>
      </w:pPr>
      <w:r w:rsidRPr="00DA7D6A">
        <w:rPr>
          <w:rFonts w:ascii="Calibri" w:hAnsi="Calibri"/>
          <w:i/>
          <w:sz w:val="20"/>
          <w:szCs w:val="20"/>
          <w:lang w:val="en-US"/>
        </w:rPr>
        <w:t>Note:</w:t>
      </w:r>
      <w:r w:rsidRPr="00DA7D6A">
        <w:rPr>
          <w:rFonts w:ascii="Calibri" w:hAnsi="Calibri"/>
          <w:sz w:val="20"/>
          <w:szCs w:val="20"/>
          <w:lang w:val="en-US"/>
        </w:rPr>
        <w:t xml:space="preserve"> There are 16 federal states (NUTS-1 regions) in Germany. The federal states are sub-divided into 401 NUTS-3 districts. In most cases, the containment measures were put in place at the federal state level. If this is the case, the measure is binding for all NUTS-3 districts within the corresponding federal state. We did our best to check for different implementation dates in specific NUTS-3 districts. If we found differences, we account for them and state them in the main text.</w:t>
      </w:r>
    </w:p>
    <w:p w:rsidR="00DA7D6A" w:rsidRPr="00DA7D6A" w:rsidRDefault="00DA7D6A" w:rsidP="00DA7D6A">
      <w:pPr>
        <w:keepNext/>
        <w:keepLines/>
        <w:spacing w:before="120" w:after="120" w:line="480" w:lineRule="auto"/>
        <w:jc w:val="both"/>
        <w:outlineLvl w:val="3"/>
        <w:rPr>
          <w:rFonts w:eastAsiaTheme="majorEastAsia" w:cstheme="minorHAnsi"/>
          <w:iCs/>
          <w:color w:val="2E74B5" w:themeColor="accent1" w:themeShade="BF"/>
          <w:sz w:val="32"/>
          <w:lang w:val="en-US"/>
        </w:rPr>
      </w:pPr>
      <w:bookmarkStart w:id="4" w:name="_Ref54636153"/>
      <w:r>
        <w:rPr>
          <w:rFonts w:eastAsiaTheme="majorEastAsia" w:cstheme="minorHAnsi"/>
          <w:iCs/>
          <w:color w:val="2E74B5" w:themeColor="accent1" w:themeShade="BF"/>
          <w:sz w:val="32"/>
          <w:lang w:val="en-US"/>
        </w:rPr>
        <w:lastRenderedPageBreak/>
        <w:t>Appendix B</w:t>
      </w:r>
      <w:r w:rsidRPr="00DA7D6A">
        <w:rPr>
          <w:rFonts w:eastAsiaTheme="majorEastAsia" w:cstheme="minorHAnsi"/>
          <w:iCs/>
          <w:color w:val="2E74B5" w:themeColor="accent1" w:themeShade="BF"/>
          <w:sz w:val="32"/>
          <w:lang w:val="en-US"/>
        </w:rPr>
        <w:t>: Day of Diagnosis and Day of Reporting</w:t>
      </w:r>
      <w:bookmarkEnd w:id="4"/>
    </w:p>
    <w:p w:rsidR="00DA7D6A" w:rsidRPr="00DA7D6A" w:rsidRDefault="00DA7D6A" w:rsidP="00DA7D6A">
      <w:pPr>
        <w:spacing w:line="480" w:lineRule="auto"/>
        <w:jc w:val="both"/>
        <w:rPr>
          <w:rFonts w:cstheme="minorHAnsi"/>
          <w:color w:val="000000" w:themeColor="text1"/>
          <w:sz w:val="24"/>
          <w:szCs w:val="24"/>
          <w:lang w:val="en-US"/>
        </w:rPr>
      </w:pPr>
      <w:r w:rsidRPr="00DA7D6A">
        <w:rPr>
          <w:rFonts w:cstheme="minorHAnsi"/>
          <w:sz w:val="24"/>
          <w:lang w:val="en-US"/>
        </w:rPr>
        <w:t xml:space="preserve">German authorities (RKI, 2020a) measure the number of reported infections by day of reporting and by day of first appearance of symptoms. </w:t>
      </w:r>
      <w:r w:rsidRPr="00DA7D6A">
        <w:rPr>
          <w:rFonts w:cstheme="minorHAnsi"/>
          <w:color w:val="000000" w:themeColor="text1"/>
          <w:sz w:val="24"/>
          <w:szCs w:val="24"/>
          <w:lang w:val="en-US"/>
        </w:rPr>
        <w:t>Both ways of reporting have their advantages and disadvantages. Data by date of reporting is cyclical over the week. Incidences systematically fall over the weekend and are highest around the mid of the week. At weekends, testing is reduced and local health authorities are usually closed (RKI, 2020b). As reporting does not relate one-to-one to the spread of infections, employing reporting data introduces additional measurement uncertainty. This would suggest working with incidence data by day of diagnosis.</w:t>
      </w:r>
    </w:p>
    <w:p w:rsidR="00DA7D6A" w:rsidRPr="00DA7D6A" w:rsidRDefault="00DA7D6A" w:rsidP="00DA7D6A">
      <w:pPr>
        <w:spacing w:line="480" w:lineRule="auto"/>
        <w:jc w:val="both"/>
        <w:rPr>
          <w:rFonts w:cstheme="minorHAnsi"/>
          <w:sz w:val="24"/>
          <w:lang w:val="en-US"/>
        </w:rPr>
      </w:pPr>
      <w:r w:rsidRPr="00DA7D6A">
        <w:rPr>
          <w:rFonts w:cstheme="minorHAnsi"/>
          <w:sz w:val="24"/>
          <w:lang w:val="en-US"/>
        </w:rPr>
        <w:t>However, data by day of diagnosis has disadvantages as well. Not all cases reported to the RKI come with the date of diagnosis. In many cases, we only know the day of reporting. As the figures show, more than one fourth of the data</w:t>
      </w:r>
      <w:r w:rsidRPr="00DA7D6A">
        <w:rPr>
          <w:sz w:val="24"/>
          <w:lang w:val="en-US"/>
        </w:rPr>
        <w:t xml:space="preserve"> </w:t>
      </w:r>
      <w:r w:rsidRPr="00DA7D6A">
        <w:rPr>
          <w:rFonts w:cstheme="minorHAnsi"/>
          <w:sz w:val="24"/>
          <w:lang w:val="en-US"/>
        </w:rPr>
        <w:t>of the data is still by day of reporting. For these cases, knowledge on the day of first appearance of symptoms is missing. The share the data provided by day of reporting seems to increase over time.</w:t>
      </w:r>
    </w:p>
    <w:p w:rsidR="00DA7D6A" w:rsidRPr="00DA7D6A" w:rsidRDefault="00DA7D6A" w:rsidP="00DA7D6A">
      <w:pPr>
        <w:spacing w:line="480" w:lineRule="auto"/>
        <w:jc w:val="both"/>
        <w:rPr>
          <w:rFonts w:cstheme="minorHAnsi"/>
          <w:sz w:val="24"/>
          <w:lang w:val="en-US"/>
        </w:rPr>
      </w:pPr>
      <w:r w:rsidRPr="00DA7D6A">
        <w:rPr>
          <w:rFonts w:cstheme="minorHAnsi"/>
          <w:sz w:val="24"/>
          <w:lang w:val="en-US"/>
        </w:rPr>
        <w:t>There is one great advantage of using data by day of diagnosis. The median delay between infection and appearance of symptoms is 5.2 days with 95% lying between 2 and 12 days (Linton et al., 2020 and Lauer et al., 2020). When we are interested in the effect of some containment measure on the number of infections and use data by day of diagnosis, we would expect that the about 50% of the effect is visible five days after the measure was implemented. When we use data by day of reporting, we need an additional delay of 5 to 6 days for the patient to visit a doctor and the reporting procedure to reach this threshold. This enters further imprecision in measurement.</w:t>
      </w:r>
    </w:p>
    <w:p w:rsidR="00DA7D6A" w:rsidRPr="00DA7D6A" w:rsidRDefault="00DA7D6A" w:rsidP="00DA7D6A">
      <w:pPr>
        <w:spacing w:after="0" w:line="480" w:lineRule="auto"/>
        <w:jc w:val="both"/>
        <w:rPr>
          <w:rFonts w:cstheme="minorHAnsi"/>
          <w:sz w:val="24"/>
          <w:lang w:val="en-US"/>
        </w:rPr>
      </w:pPr>
      <w:r w:rsidRPr="00DA7D6A">
        <w:rPr>
          <w:rFonts w:cstheme="minorHAnsi"/>
          <w:sz w:val="24"/>
          <w:lang w:val="en-US"/>
        </w:rPr>
        <w:lastRenderedPageBreak/>
        <w:t>We therefore need to choose between a dataset that may be more precise but is not homogenous (day of first symptoms) and a dataset where we need to add additional days for reporting. In order to employ the comprehensive RKI dataset, we relate infection cases to the day of reporting. With a delay of 7 days between infection and reporting, about 25% of infection cases are expected to be statistically visible. As in related work (e.g. Mitze &amp; Kosfeld, 2021) we capture cyclicality over the week by the day of the week effect.</w:t>
      </w:r>
    </w:p>
    <w:p w:rsidR="00DA7D6A" w:rsidRPr="00DA7D6A" w:rsidRDefault="00DA7D6A" w:rsidP="00DA7D6A">
      <w:pPr>
        <w:keepNext/>
        <w:keepLines/>
        <w:spacing w:before="120" w:after="120" w:line="480" w:lineRule="auto"/>
        <w:jc w:val="both"/>
        <w:outlineLvl w:val="3"/>
        <w:rPr>
          <w:rFonts w:eastAsiaTheme="majorEastAsia" w:cstheme="minorHAnsi"/>
          <w:iCs/>
          <w:color w:val="2E74B5" w:themeColor="accent1" w:themeShade="BF"/>
          <w:sz w:val="32"/>
          <w:lang w:val="en-US"/>
        </w:rPr>
      </w:pPr>
      <w:bookmarkStart w:id="5" w:name="_Ref54636204"/>
      <w:r>
        <w:rPr>
          <w:rFonts w:eastAsiaTheme="majorEastAsia" w:cstheme="minorHAnsi"/>
          <w:iCs/>
          <w:color w:val="2E74B5" w:themeColor="accent1" w:themeShade="BF"/>
          <w:sz w:val="32"/>
          <w:lang w:val="en-US"/>
        </w:rPr>
        <w:t>Appendix C</w:t>
      </w:r>
      <w:r w:rsidRPr="00DA7D6A">
        <w:rPr>
          <w:rFonts w:eastAsiaTheme="majorEastAsia" w:cstheme="minorHAnsi"/>
          <w:iCs/>
          <w:color w:val="2E74B5" w:themeColor="accent1" w:themeShade="BF"/>
          <w:sz w:val="32"/>
          <w:lang w:val="en-US"/>
        </w:rPr>
        <w:t>: Day of the Week Effect</w:t>
      </w:r>
      <w:bookmarkEnd w:id="5"/>
    </w:p>
    <w:p w:rsidR="00DA7D6A" w:rsidRPr="00DA7D6A" w:rsidRDefault="00DA7D6A" w:rsidP="00DA7D6A">
      <w:pPr>
        <w:keepNext/>
        <w:spacing w:before="120" w:after="0" w:line="480" w:lineRule="auto"/>
        <w:jc w:val="center"/>
        <w:rPr>
          <w:sz w:val="24"/>
        </w:rPr>
      </w:pPr>
      <w:r w:rsidRPr="00DA7D6A">
        <w:rPr>
          <w:noProof/>
          <w:sz w:val="24"/>
          <w:lang w:eastAsia="de-DE"/>
        </w:rPr>
        <w:drawing>
          <wp:inline distT="0" distB="0" distL="0" distR="0" wp14:anchorId="6AF14F1C" wp14:editId="4674D33E">
            <wp:extent cx="3295884" cy="302751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8000"/>
                    <a:stretch/>
                  </pic:blipFill>
                  <pic:spPr bwMode="auto">
                    <a:xfrm>
                      <a:off x="0" y="0"/>
                      <a:ext cx="3316118" cy="3046097"/>
                    </a:xfrm>
                    <a:prstGeom prst="rect">
                      <a:avLst/>
                    </a:prstGeom>
                    <a:ln>
                      <a:noFill/>
                    </a:ln>
                    <a:extLst>
                      <a:ext uri="{53640926-AAD7-44D8-BBD7-CCE9431645EC}">
                        <a14:shadowObscured xmlns:a14="http://schemas.microsoft.com/office/drawing/2010/main"/>
                      </a:ext>
                    </a:extLst>
                  </pic:spPr>
                </pic:pic>
              </a:graphicData>
            </a:graphic>
          </wp:inline>
        </w:drawing>
      </w:r>
    </w:p>
    <w:p w:rsidR="00DA7D6A" w:rsidRPr="00DA7D6A" w:rsidRDefault="00DA7D6A" w:rsidP="00DA7D6A">
      <w:pPr>
        <w:spacing w:after="200" w:line="480" w:lineRule="auto"/>
        <w:jc w:val="center"/>
        <w:rPr>
          <w:rFonts w:cstheme="minorHAnsi"/>
          <w:sz w:val="24"/>
          <w:szCs w:val="24"/>
          <w:lang w:val="en-US"/>
        </w:rPr>
      </w:pPr>
      <w:bookmarkStart w:id="6" w:name="_Ref54376424"/>
      <w:r w:rsidRPr="00DA7D6A">
        <w:rPr>
          <w:b/>
          <w:iCs/>
          <w:sz w:val="24"/>
          <w:szCs w:val="24"/>
          <w:lang w:val="en-US"/>
        </w:rPr>
        <w:t>Figure C1</w:t>
      </w:r>
      <w:bookmarkEnd w:id="6"/>
      <w:r w:rsidRPr="00DA7D6A">
        <w:rPr>
          <w:b/>
          <w:iCs/>
          <w:sz w:val="24"/>
          <w:szCs w:val="24"/>
          <w:lang w:val="en-US"/>
        </w:rPr>
        <w:t>:</w:t>
      </w:r>
      <w:r w:rsidRPr="00DA7D6A">
        <w:rPr>
          <w:sz w:val="24"/>
          <w:szCs w:val="24"/>
          <w:lang w:val="en-US"/>
        </w:rPr>
        <w:t xml:space="preserve"> </w:t>
      </w:r>
      <w:r w:rsidRPr="00DA7D6A">
        <w:rPr>
          <w:rFonts w:cstheme="minorHAnsi"/>
          <w:sz w:val="24"/>
          <w:szCs w:val="24"/>
          <w:lang w:val="en-US"/>
        </w:rPr>
        <w:t>Day of the week effect</w:t>
      </w:r>
    </w:p>
    <w:p w:rsidR="00DA7D6A" w:rsidRPr="00DA7D6A" w:rsidRDefault="00DA7D6A" w:rsidP="00DA7D6A">
      <w:pPr>
        <w:spacing w:before="120" w:after="0" w:line="480" w:lineRule="auto"/>
        <w:jc w:val="both"/>
        <w:rPr>
          <w:rFonts w:cstheme="minorHAnsi"/>
          <w:sz w:val="24"/>
          <w:szCs w:val="24"/>
          <w:lang w:val="en-US"/>
        </w:rPr>
      </w:pPr>
      <w:r w:rsidRPr="00DA7D6A">
        <w:rPr>
          <w:rFonts w:cstheme="minorHAnsi"/>
          <w:sz w:val="24"/>
          <w:szCs w:val="24"/>
          <w:lang w:val="en-US"/>
        </w:rPr>
        <w:t>Figure C1 exhibits the pattern of the day of the week effect with Sunday as the reference day. Particularly because of limited testing on weekends, figures begin to rise at the start of the week. The highest growth of incidence rates of additional 7 ½ percentage points is observed on Wednesday. Growth rates are almost as high on Tuesday and Thursday. The low weekend effect is also clearly visible for Saturday. All weekday impacts are highly significant.</w:t>
      </w:r>
    </w:p>
    <w:p w:rsidR="00176A3A" w:rsidRDefault="00176A3A" w:rsidP="00DA7D6A">
      <w:pPr>
        <w:spacing w:after="0"/>
      </w:pPr>
    </w:p>
    <w:p w:rsidR="00DA7D6A" w:rsidRDefault="00DA7D6A" w:rsidP="00DA7D6A">
      <w:pPr>
        <w:spacing w:after="0"/>
      </w:pPr>
    </w:p>
    <w:p w:rsidR="00DA7D6A" w:rsidRDefault="00DA7D6A" w:rsidP="00DA7D6A">
      <w:pPr>
        <w:spacing w:after="0"/>
      </w:pPr>
    </w:p>
    <w:sectPr w:rsidR="00DA7D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13FE3"/>
    <w:multiLevelType w:val="multilevel"/>
    <w:tmpl w:val="D736E1A0"/>
    <w:lvl w:ilvl="0">
      <w:start w:val="1"/>
      <w:numFmt w:val="upperLetter"/>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Appendix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6A"/>
    <w:rsid w:val="00176A3A"/>
    <w:rsid w:val="00DA7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8A67"/>
  <w15:chartTrackingRefBased/>
  <w15:docId w15:val="{E1361588-B6B4-4CE8-B151-F1B1E599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DA7D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pendix">
    <w:name w:val="Appendix"/>
    <w:basedOn w:val="berschrift4"/>
    <w:next w:val="Standard"/>
    <w:qFormat/>
    <w:rsid w:val="00DA7D6A"/>
    <w:pPr>
      <w:spacing w:before="120" w:after="120" w:line="240" w:lineRule="auto"/>
      <w:ind w:left="431" w:hanging="431"/>
      <w:jc w:val="both"/>
    </w:pPr>
    <w:rPr>
      <w:rFonts w:asciiTheme="minorHAnsi" w:hAnsiTheme="minorHAnsi" w:cstheme="minorHAnsi"/>
      <w:i w:val="0"/>
      <w:sz w:val="32"/>
      <w:lang w:val="en-US"/>
    </w:rPr>
  </w:style>
  <w:style w:type="character" w:customStyle="1" w:styleId="berschrift4Zchn">
    <w:name w:val="Überschrift 4 Zchn"/>
    <w:basedOn w:val="Absatz-Standardschriftart"/>
    <w:link w:val="berschrift4"/>
    <w:uiPriority w:val="9"/>
    <w:semiHidden/>
    <w:rsid w:val="00DA7D6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3894</Characters>
  <Application>Microsoft Office Word</Application>
  <DocSecurity>0</DocSecurity>
  <Lines>324</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Kosfeld</dc:creator>
  <cp:keywords/>
  <dc:description/>
  <cp:lastModifiedBy>Reinhold Kosfeld</cp:lastModifiedBy>
  <cp:revision>1</cp:revision>
  <dcterms:created xsi:type="dcterms:W3CDTF">2021-04-08T21:41:00Z</dcterms:created>
  <dcterms:modified xsi:type="dcterms:W3CDTF">2021-04-08T21:46:00Z</dcterms:modified>
</cp:coreProperties>
</file>