
<file path=[Content_Types].xml><?xml version="1.0" encoding="utf-8"?>
<Types xmlns="http://schemas.openxmlformats.org/package/2006/content-types">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8F" w:rsidRPr="001549D3" w:rsidRDefault="00654E8F" w:rsidP="0001436A">
      <w:pPr>
        <w:pStyle w:val="SupplementaryMaterial"/>
        <w:rPr>
          <w:b w:val="0"/>
        </w:rPr>
      </w:pPr>
      <w:r w:rsidRPr="001549D3">
        <w:t>Supplementary Material</w:t>
      </w:r>
    </w:p>
    <w:p w:rsidR="00817DD6" w:rsidRPr="001549D3" w:rsidRDefault="00566EBB" w:rsidP="0001436A">
      <w:pPr>
        <w:pStyle w:val="Titel"/>
      </w:pPr>
      <w:r w:rsidRPr="00903D43">
        <w:rPr>
          <w:rFonts w:cstheme="minorHAnsi"/>
          <w:bCs/>
        </w:rPr>
        <w:t>Decrease of markers related to bone erosion in serum of patients with musculoskeletal disorders after serial low-dose radon spa therapy</w:t>
      </w:r>
    </w:p>
    <w:p w:rsidR="002868E2" w:rsidRPr="00566EBB" w:rsidRDefault="00566EBB" w:rsidP="00566EBB">
      <w:pPr>
        <w:spacing w:after="0"/>
        <w:rPr>
          <w:b/>
          <w:szCs w:val="24"/>
          <w:lang w:val="de-DE"/>
        </w:rPr>
      </w:pPr>
      <w:r w:rsidRPr="00566EBB">
        <w:rPr>
          <w:b/>
          <w:szCs w:val="24"/>
          <w:lang w:val="de-DE"/>
        </w:rPr>
        <w:t>A.Cucu</w:t>
      </w:r>
      <w:r w:rsidRPr="00566EBB">
        <w:rPr>
          <w:b/>
          <w:szCs w:val="24"/>
          <w:vertAlign w:val="superscript"/>
          <w:lang w:val="de-DE"/>
        </w:rPr>
        <w:t>#1</w:t>
      </w:r>
      <w:r w:rsidRPr="00566EBB">
        <w:rPr>
          <w:b/>
          <w:szCs w:val="24"/>
          <w:lang w:val="de-DE"/>
        </w:rPr>
        <w:t>, K.Shreder</w:t>
      </w:r>
      <w:r w:rsidRPr="00566EBB">
        <w:rPr>
          <w:b/>
          <w:szCs w:val="24"/>
          <w:vertAlign w:val="superscript"/>
          <w:lang w:val="de-DE"/>
        </w:rPr>
        <w:t>#1</w:t>
      </w:r>
      <w:r w:rsidRPr="00566EBB">
        <w:rPr>
          <w:b/>
          <w:szCs w:val="24"/>
          <w:lang w:val="de-DE"/>
        </w:rPr>
        <w:t>, D. Kraft</w:t>
      </w:r>
      <w:r w:rsidRPr="00566EBB">
        <w:rPr>
          <w:b/>
          <w:szCs w:val="24"/>
          <w:vertAlign w:val="superscript"/>
          <w:lang w:val="de-DE"/>
        </w:rPr>
        <w:t>1</w:t>
      </w:r>
      <w:r w:rsidRPr="00566EBB">
        <w:rPr>
          <w:b/>
          <w:szCs w:val="24"/>
          <w:lang w:val="de-DE"/>
        </w:rPr>
        <w:t>, P. Rühle</w:t>
      </w:r>
      <w:r w:rsidRPr="00566EBB">
        <w:rPr>
          <w:b/>
          <w:szCs w:val="24"/>
          <w:vertAlign w:val="superscript"/>
          <w:lang w:val="de-DE"/>
        </w:rPr>
        <w:t>2</w:t>
      </w:r>
      <w:r w:rsidRPr="00566EBB">
        <w:rPr>
          <w:b/>
          <w:szCs w:val="24"/>
          <w:lang w:val="de-DE"/>
        </w:rPr>
        <w:t>, G. Klein</w:t>
      </w:r>
      <w:r w:rsidRPr="00566EBB">
        <w:rPr>
          <w:b/>
          <w:szCs w:val="24"/>
          <w:vertAlign w:val="superscript"/>
          <w:lang w:val="de-DE"/>
        </w:rPr>
        <w:t>3</w:t>
      </w:r>
      <w:r w:rsidRPr="00566EBB">
        <w:rPr>
          <w:b/>
          <w:szCs w:val="24"/>
          <w:lang w:val="de-DE"/>
        </w:rPr>
        <w:t>, G. Thiel</w:t>
      </w:r>
      <w:r w:rsidRPr="00566EBB">
        <w:rPr>
          <w:b/>
          <w:szCs w:val="24"/>
          <w:vertAlign w:val="superscript"/>
          <w:lang w:val="de-DE"/>
        </w:rPr>
        <w:t>4</w:t>
      </w:r>
      <w:r w:rsidRPr="00566EBB">
        <w:rPr>
          <w:b/>
          <w:szCs w:val="24"/>
          <w:lang w:val="de-DE"/>
        </w:rPr>
        <w:t>, B. Frey</w:t>
      </w:r>
      <w:r w:rsidRPr="00566EBB">
        <w:rPr>
          <w:b/>
          <w:szCs w:val="24"/>
          <w:vertAlign w:val="superscript"/>
          <w:lang w:val="de-DE"/>
        </w:rPr>
        <w:t>2</w:t>
      </w:r>
      <w:r w:rsidRPr="00566EBB">
        <w:rPr>
          <w:b/>
          <w:szCs w:val="24"/>
          <w:lang w:val="de-DE"/>
        </w:rPr>
        <w:t>, U.Gaipl</w:t>
      </w:r>
      <w:r w:rsidRPr="00566EBB">
        <w:rPr>
          <w:b/>
          <w:szCs w:val="24"/>
          <w:vertAlign w:val="superscript"/>
          <w:lang w:val="de-DE"/>
        </w:rPr>
        <w:t>2</w:t>
      </w:r>
      <w:r w:rsidRPr="00566EBB">
        <w:rPr>
          <w:b/>
          <w:szCs w:val="24"/>
          <w:lang w:val="de-DE"/>
        </w:rPr>
        <w:t>, C.Fournier</w:t>
      </w:r>
      <w:r w:rsidRPr="00566EBB">
        <w:rPr>
          <w:b/>
          <w:szCs w:val="24"/>
          <w:vertAlign w:val="superscript"/>
          <w:lang w:val="de-DE"/>
        </w:rPr>
        <w:t>1*</w:t>
      </w:r>
    </w:p>
    <w:p w:rsidR="002868E2" w:rsidRPr="00994A3D" w:rsidRDefault="002868E2" w:rsidP="00994A3D">
      <w:pPr>
        <w:spacing w:before="240" w:after="0"/>
        <w:rPr>
          <w:rFonts w:cs="Times New Roman"/>
        </w:rPr>
      </w:pPr>
      <w:r w:rsidRPr="00994A3D">
        <w:rPr>
          <w:rFonts w:cs="Times New Roman"/>
          <w:b/>
        </w:rPr>
        <w:t xml:space="preserve">* Correspondence: </w:t>
      </w:r>
      <w:r w:rsidR="00566EBB">
        <w:rPr>
          <w:rFonts w:cs="Times New Roman"/>
        </w:rPr>
        <w:t>c.fournier</w:t>
      </w:r>
      <w:r w:rsidRPr="00994A3D">
        <w:rPr>
          <w:rFonts w:cs="Times New Roman"/>
        </w:rPr>
        <w:t>@</w:t>
      </w:r>
      <w:r w:rsidR="00566EBB">
        <w:rPr>
          <w:rFonts w:cs="Times New Roman"/>
        </w:rPr>
        <w:t>gsi.de</w:t>
      </w:r>
    </w:p>
    <w:p w:rsidR="00EA3D3C" w:rsidRPr="00994A3D" w:rsidRDefault="00EA3D3C" w:rsidP="00566EBB">
      <w:pPr>
        <w:pStyle w:val="berschrift1"/>
        <w:numPr>
          <w:ilvl w:val="0"/>
          <w:numId w:val="0"/>
        </w:numPr>
        <w:ind w:left="567" w:hanging="567"/>
      </w:pPr>
    </w:p>
    <w:p w:rsidR="00566EBB" w:rsidRDefault="00566EBB" w:rsidP="00566EBB">
      <w:pPr>
        <w:spacing w:before="0" w:after="0"/>
        <w:jc w:val="both"/>
        <w:rPr>
          <w:rFonts w:eastAsia="Times New Roman" w:cs="Times New Roman"/>
          <w:szCs w:val="24"/>
        </w:rPr>
      </w:pPr>
      <w:r w:rsidRPr="00B05F66">
        <w:rPr>
          <w:rFonts w:eastAsia="Times New Roman" w:cs="Times New Roman"/>
          <w:szCs w:val="24"/>
        </w:rPr>
        <w:t>Additional factors are indicative for changes in the balance of bone formation and degradation and have been measured in the serum of those patients, where enough material was available</w:t>
      </w:r>
      <w:r>
        <w:rPr>
          <w:rFonts w:eastAsia="Times New Roman" w:cs="Times New Roman"/>
          <w:szCs w:val="24"/>
        </w:rPr>
        <w:t>, and not in all 32 patients presented in the paper</w:t>
      </w:r>
      <w:r w:rsidRPr="00B05F66">
        <w:rPr>
          <w:rFonts w:eastAsia="Times New Roman" w:cs="Times New Roman"/>
          <w:szCs w:val="24"/>
        </w:rPr>
        <w:t xml:space="preserve">. </w:t>
      </w:r>
      <w:r w:rsidRPr="00B05F66">
        <w:rPr>
          <w:rFonts w:eastAsia="Times New Roman" w:cs="Times New Roman"/>
          <w:color w:val="000000"/>
          <w:szCs w:val="24"/>
        </w:rPr>
        <w:t xml:space="preserve">We completed the assessment of RANKL by measuring an OPG-unbound form of RANKL </w:t>
      </w:r>
      <w:r w:rsidR="00456FC4" w:rsidRPr="00B05F66">
        <w:rPr>
          <w:rFonts w:eastAsia="Times New Roman" w:cs="Times New Roman"/>
          <w:color w:val="000000"/>
          <w:szCs w:val="24"/>
        </w:rPr>
        <w:fldChar w:fldCharType="begin"/>
      </w:r>
      <w:r w:rsidR="004F001B">
        <w:rPr>
          <w:rFonts w:eastAsia="Times New Roman" w:cs="Times New Roman"/>
          <w:color w:val="000000"/>
          <w:szCs w:val="24"/>
        </w:rPr>
        <w:instrText xml:space="preserve"> ADDIN ZOTERO_ITEM CSL_CITATION {"citationID":"TbHQrSqL","properties":{"formattedCitation":"(1)","plainCitation":"(1)"},"citationItems":[{"id":621,"uris":["http://zotero.org/users/local/JEBdmIpY/items/6RREK66J"],"uri":["http://zotero.org/users/local/JEBdmIpY/items/6RREK66J"],"itemData":{"id":621,"type":"article-journal","title":"The role of osteoprotegerin and receptor activator of nuclear factor kappaB ligand in the pathogenesis and treatment of rheumatoid arthritis","container-title":"Arthritis and Rheumatism","page":"253-259","volume":"44","issue":"2","source":"PubMed","DOI":"10.1002/1529-0131(200102)44:2&lt;253::AID-ANR41&gt;3.0.CO;2-S","ISSN":"0004-3591","note":"PMID: 11229454","journalAbbreviation":"Arthritis Rheum.","language":"eng","author":[{"family":"Hofbauer","given":"L. C."},{"family":"Heufelder","given":"A. E."}],"issued":{"date-parts":[["2001",2]]},"PMID":"11229454"}}],"schema":"https://github.com/citation-style-language/schema/raw/master/csl-citation.json"} </w:instrText>
      </w:r>
      <w:r w:rsidR="00456FC4" w:rsidRPr="00B05F66">
        <w:rPr>
          <w:rFonts w:eastAsia="Times New Roman" w:cs="Times New Roman"/>
          <w:color w:val="000000"/>
          <w:szCs w:val="24"/>
        </w:rPr>
        <w:fldChar w:fldCharType="separate"/>
      </w:r>
      <w:r w:rsidR="004F001B" w:rsidRPr="004F001B">
        <w:rPr>
          <w:rFonts w:cs="Times New Roman"/>
        </w:rPr>
        <w:t>(1)</w:t>
      </w:r>
      <w:r w:rsidR="00456FC4" w:rsidRPr="00B05F66">
        <w:rPr>
          <w:rFonts w:eastAsia="Times New Roman" w:cs="Times New Roman"/>
          <w:color w:val="000000"/>
          <w:szCs w:val="24"/>
        </w:rPr>
        <w:fldChar w:fldCharType="end"/>
      </w:r>
      <w:r>
        <w:rPr>
          <w:rFonts w:eastAsia="Times New Roman" w:cs="Times New Roman"/>
          <w:color w:val="000000"/>
          <w:szCs w:val="24"/>
        </w:rPr>
        <w:t>,</w:t>
      </w:r>
      <w:r w:rsidRPr="00B05F66">
        <w:rPr>
          <w:rFonts w:eastAsia="Times New Roman" w:cs="Times New Roman"/>
          <w:color w:val="000000"/>
          <w:szCs w:val="24"/>
        </w:rPr>
        <w:t xml:space="preserve"> defined as “free” </w:t>
      </w:r>
      <w:proofErr w:type="spellStart"/>
      <w:r w:rsidR="004F001B">
        <w:rPr>
          <w:rFonts w:eastAsia="Times New Roman" w:cs="Times New Roman"/>
          <w:color w:val="000000"/>
          <w:szCs w:val="24"/>
        </w:rPr>
        <w:t>s</w:t>
      </w:r>
      <w:r w:rsidRPr="00B05F66">
        <w:rPr>
          <w:rFonts w:eastAsia="Times New Roman" w:cs="Times New Roman"/>
          <w:color w:val="000000"/>
          <w:szCs w:val="24"/>
        </w:rPr>
        <w:t>RANKL</w:t>
      </w:r>
      <w:proofErr w:type="spellEnd"/>
      <w:r w:rsidRPr="00B05F66">
        <w:rPr>
          <w:rFonts w:eastAsia="Times New Roman" w:cs="Times New Roman"/>
          <w:color w:val="000000"/>
          <w:szCs w:val="24"/>
        </w:rPr>
        <w:t xml:space="preserve">. </w:t>
      </w:r>
      <w:r w:rsidRPr="00B05F66">
        <w:rPr>
          <w:rFonts w:eastAsia="Times New Roman" w:cs="Times New Roman"/>
          <w:szCs w:val="24"/>
        </w:rPr>
        <w:t xml:space="preserve">In addition, we investigated other factors, such as </w:t>
      </w:r>
      <w:r>
        <w:rPr>
          <w:rFonts w:eastAsia="Times New Roman" w:cs="Times New Roman"/>
          <w:color w:val="000000"/>
          <w:szCs w:val="24"/>
        </w:rPr>
        <w:t>a</w:t>
      </w:r>
      <w:r w:rsidRPr="00B05F66">
        <w:rPr>
          <w:rFonts w:eastAsia="Times New Roman" w:cs="Times New Roman"/>
          <w:color w:val="000000"/>
          <w:szCs w:val="24"/>
        </w:rPr>
        <w:t xml:space="preserve"> bone-specific alkaline phosphatase (BAP</w:t>
      </w:r>
      <w:r>
        <w:rPr>
          <w:rFonts w:eastAsia="Times New Roman" w:cs="Times New Roman"/>
          <w:color w:val="000000"/>
          <w:szCs w:val="24"/>
        </w:rPr>
        <w:t>) and</w:t>
      </w:r>
      <w:r w:rsidRPr="00EC381E">
        <w:rPr>
          <w:rFonts w:eastAsia="Times New Roman" w:cs="Times New Roman"/>
          <w:color w:val="000000"/>
          <w:szCs w:val="24"/>
        </w:rPr>
        <w:t xml:space="preserve"> </w:t>
      </w:r>
      <w:r>
        <w:rPr>
          <w:rFonts w:eastAsia="Times New Roman" w:cs="Times New Roman"/>
          <w:color w:val="000000"/>
          <w:szCs w:val="24"/>
        </w:rPr>
        <w:t>osteocalcin (OCN</w:t>
      </w:r>
      <w:r w:rsidRPr="00B05F66">
        <w:rPr>
          <w:rFonts w:eastAsia="Times New Roman" w:cs="Times New Roman"/>
          <w:color w:val="000000"/>
          <w:szCs w:val="24"/>
        </w:rPr>
        <w:t xml:space="preserve">), </w:t>
      </w:r>
      <w:r w:rsidRPr="00B05F66">
        <w:rPr>
          <w:rFonts w:eastAsia="Times New Roman" w:cs="Times New Roman"/>
          <w:szCs w:val="24"/>
        </w:rPr>
        <w:t xml:space="preserve">indicating the regulation of </w:t>
      </w:r>
      <w:r w:rsidRPr="00B05F66">
        <w:rPr>
          <w:rFonts w:eastAsia="Times New Roman" w:cs="Times New Roman"/>
          <w:color w:val="000000"/>
          <w:szCs w:val="24"/>
        </w:rPr>
        <w:t xml:space="preserve">bone formation </w:t>
      </w:r>
      <w:r w:rsidR="00456FC4" w:rsidRPr="00B05F66">
        <w:rPr>
          <w:rFonts w:eastAsia="Times New Roman" w:cs="Times New Roman"/>
          <w:noProof/>
          <w:color w:val="000000"/>
          <w:szCs w:val="24"/>
        </w:rPr>
        <w:fldChar w:fldCharType="begin"/>
      </w:r>
      <w:r w:rsidR="004F001B">
        <w:rPr>
          <w:rFonts w:eastAsia="Times New Roman" w:cs="Times New Roman"/>
          <w:noProof/>
          <w:color w:val="000000"/>
          <w:szCs w:val="24"/>
        </w:rPr>
        <w:instrText xml:space="preserve"> ADDIN ZOTERO_ITEM CSL_CITATION {"citationID":"W3kUQ6Z1","properties":{"formattedCitation":"{\\rtf (2\\uc0\\u8211{}4)}","plainCitation":"(2–4)"},"citationItems":[{"id":546,"uris":["http://zotero.org/users/local/JEBdmIpY/items/777QRWN3"],"uri":["http://zotero.org/users/local/JEBdmIpY/items/777QRWN3"],"itemData":{"id":546,"type":"article-journal","title":"Endocrine actions of osteocalcin","container-title":"International Journal of Endocrinology","page":"846480","volume":"2013","source":"PubMed","abstract":"Osteocalcin is the most abundant noncollagenous protein of bone matrix. Once transcribed, this protein undergoes posttranslational modifications within osteoblastic cells before its secretion, including the carboxylation of three glutamic residues in glutamic acid, which is essential for hydroxyapatite binding and deposition in the extracellular matrix of bone. Recent provocative data from experimental observations in mice showed that the circulating undercarboxylated fraction of osteocalcin increases insulin secretion and sensitivity, lowers blood glucose, and decreases visceral fat in both genders, while it enhances testosterone production by the testes in males. Moreover, both total and undercarboxylated osteocalcins increase following physical activity with potential positive effects on glucose tolerance. Despite that these evidences have been only in part confirmed in humans, further prospective investigations are needed to definitively establish the endocrine role of osteocalcin both in the general population and cohorts of patients with diabetes or other metabolic disorders.","DOI":"10.1155/2013/846480","ISSN":"1687-8337","note":"PMID: 23737779\nPMCID: PMC3657394","journalAbbreviation":"Int J Endocrinol","language":"eng","author":[{"family":"Patti","given":"Aurora"},{"family":"Gennari","given":"Luigi"},{"family":"Merlotti","given":"Daniela"},{"family":"Dotta","given":"Francesco"},{"family":"Nuti","given":"Ranuccio"}],"issued":{"date-parts":[["2013"]]},"PMID":"23737779","PMCID":"PMC3657394"}},{"id":596,"uris":["http://zotero.org/users/local/JEBdmIpY/items/DCPC8URA"],"uri":["http://zotero.org/users/local/JEBdmIpY/items/DCPC8URA"],"itemData":{"id":596,"type":"article-journal","title":"Osteocalcin-hydroxyapatite interaction in the extracellular organic matrix of bone","container-title":"The Anatomical Record","page":"180-188","volume":"224","issue":"2","source":"PubMed","abstract":"Osteocalcin, a major noncollagenous matrix protein of bone, dentin, and cementum, is found in tight association with the calcium phosphate mineral phase of these tissues. This article reviews the structural data for osteocalcin relevant to mineral adsorption. The equilibrium-binding properties for Ca2+ ions and hydroxyapatite are considered, along with the apparent physicochemical effects of osteocalcin on bone mineral dynamics. Several of osteocalcin's possible biological activities (involvement in mineralization, chemoattraction, and leukocyte elastase inhibition) are discussed in relation to the mineral-adsorption characteristics of this protein.","DOI":"10.1002/ar.1092240208","ISSN":"0003-276X","note":"PMID: 2549810","journalAbbreviation":"Anat. Rec.","language":"eng","author":[{"family":"Hauschka","given":"P. V."},{"family":"Wians","given":"F. H."}],"issued":{"date-parts":[["1989",6]]},"PMID":"2549810"}},{"id":18,"uris":["http://zotero.org/users/local/AR4l70Cu/items/PIKX2IDM"],"uri":["http://zotero.org/users/local/AR4l70Cu/items/PIKX2IDM"],"itemData":{"id":18,"type":"article-journal","title":"Bone sialoprotein-collagen interaction promotes hydroxyapatite nucleation","container-title":"Matrix Biology: Journal of the International Society for Matrix Biology","page":"600-608","volume":"27","issue":"7","source":"PubMed","abstract":"In bone, hydroxyapatite (HA) crystals are deposited onto the type I collagen scaffold by a mechanism that has yet to be elucidated. Bone sialoprotein (BSP) is an acidic phosphoprotein that is expressed at high levels in mineralized tissues, capable of binding type I collagen, and nucleating HA. Both bone-extracted and recombinant BSP (rBSP) bind with equal affinity to collagen. The nature of the BSP-collagen interaction and its role in HA nucleation are not known. We have used a solid-phase binding assay and affinity chromatography to characterize the BSP-collagen interaction. rBSP-binding affinities of triple-helical and fibrillar type I collagen were similar (K(D) approximately 13 nM), while that of heat-denatured type I collagen was lower (K(D) approximately 44 nM), indicating the importance of triple-helical structure in binding BSP. Pepsin treatment of collagen had no effect on rBSP binding, demonstrating that the telopeptides of collagen are not involved. The majority of collagen-bound rBSP was eluted by acetonitrile, indicating that hydrophobic interactions are principally responsible for binding. Using an HA-nucleation assay, it was shown that rBSP is ten-fold more potent in reconstituted fibrillar collagen gels than in agarose gels. Nucleating potency of a non-collagen-binding, HA-nucleating peptide [rBSP(134-206)] showed no difference in the two gel systems. The work here shows that optimal binding of rBSP requires collagen to be in a native, triple-helical structure, does not require the telopeptides, and is stabilized by hydrophobic interactions. Upon binding to collagen, rBSP displays an increase in nucleation potency, implying a co-operative effect of BSP and collagen in mineral formation.","DOI":"10.1016/j.matbio.2008.06.004","ISSN":"0945-053X","note":"PMID: 18620053","journalAbbreviation":"Matrix Biol.","language":"eng","author":[{"family":"Baht","given":"Gurpreet S."},{"family":"Hunter","given":"Graeme K."},{"family":"Goldberg","given":"Harvey A."}],"issued":{"date-parts":[["2008",9]]}}}],"schema":"https://github.com/citation-style-language/schema/raw/master/csl-citation.json"} </w:instrText>
      </w:r>
      <w:r w:rsidR="00456FC4" w:rsidRPr="00B05F66">
        <w:rPr>
          <w:rFonts w:eastAsia="Times New Roman" w:cs="Times New Roman"/>
          <w:noProof/>
          <w:color w:val="000000"/>
          <w:szCs w:val="24"/>
        </w:rPr>
        <w:fldChar w:fldCharType="separate"/>
      </w:r>
      <w:r w:rsidR="004F001B" w:rsidRPr="004F001B">
        <w:rPr>
          <w:rFonts w:cs="Times New Roman"/>
          <w:szCs w:val="24"/>
        </w:rPr>
        <w:t>(2–4)</w:t>
      </w:r>
      <w:r w:rsidR="00456FC4" w:rsidRPr="00B05F66">
        <w:rPr>
          <w:rFonts w:eastAsia="Times New Roman" w:cs="Times New Roman"/>
          <w:noProof/>
          <w:color w:val="000000"/>
          <w:szCs w:val="24"/>
        </w:rPr>
        <w:fldChar w:fldCharType="end"/>
      </w:r>
      <w:r w:rsidRPr="00B05F66">
        <w:rPr>
          <w:rFonts w:eastAsia="Times New Roman" w:cs="Times New Roman"/>
          <w:noProof/>
          <w:color w:val="000000"/>
          <w:szCs w:val="24"/>
        </w:rPr>
        <w:t>.</w:t>
      </w:r>
      <w:r w:rsidRPr="00B05F66">
        <w:rPr>
          <w:rFonts w:eastAsia="Times New Roman" w:cs="Times New Roman"/>
          <w:szCs w:val="24"/>
        </w:rPr>
        <w:t xml:space="preserve"> Furthermore, we were interested to know whether increased levels of calcitonin contribute to the inhibition of OC activity, as </w:t>
      </w:r>
      <w:r>
        <w:rPr>
          <w:rFonts w:eastAsia="Times New Roman" w:cs="Times New Roman"/>
          <w:szCs w:val="24"/>
        </w:rPr>
        <w:t>c</w:t>
      </w:r>
      <w:r w:rsidRPr="00B05F66">
        <w:rPr>
          <w:rFonts w:eastAsia="Times New Roman" w:cs="Times New Roman"/>
          <w:szCs w:val="24"/>
        </w:rPr>
        <w:t xml:space="preserve">alcitonin is a negative regulator of </w:t>
      </w:r>
      <w:proofErr w:type="spellStart"/>
      <w:r w:rsidRPr="00B05F66">
        <w:rPr>
          <w:rFonts w:eastAsia="Times New Roman" w:cs="Times New Roman"/>
          <w:szCs w:val="24"/>
        </w:rPr>
        <w:t>osteoclastogenesis</w:t>
      </w:r>
      <w:proofErr w:type="spellEnd"/>
      <w:r w:rsidRPr="00B05F66">
        <w:rPr>
          <w:rFonts w:eastAsia="Times New Roman" w:cs="Times New Roman"/>
          <w:noProof/>
          <w:szCs w:val="24"/>
        </w:rPr>
        <w:t xml:space="preserve"> </w:t>
      </w:r>
      <w:r w:rsidR="00456FC4" w:rsidRPr="00B05F66">
        <w:rPr>
          <w:rFonts w:eastAsia="Times New Roman" w:cs="Times New Roman"/>
          <w:noProof/>
          <w:szCs w:val="24"/>
        </w:rPr>
        <w:fldChar w:fldCharType="begin"/>
      </w:r>
      <w:r w:rsidR="004F001B">
        <w:rPr>
          <w:rFonts w:eastAsia="Times New Roman" w:cs="Times New Roman"/>
          <w:noProof/>
          <w:szCs w:val="24"/>
        </w:rPr>
        <w:instrText xml:space="preserve"> ADDIN ZOTERO_ITEM CSL_CITATION {"citationID":"3SbsTqj4","properties":{"formattedCitation":"(5,6)","plainCitation":"(5,6)"},"citationItems":[{"id":521,"uris":["http://zotero.org/users/local/JEBdmIpY/items/XCF6XQEB"],"uri":["http://zotero.org/users/local/JEBdmIpY/items/XCF6XQEB"],"itemData":{"id":521,"type":"article-journal","title":"Calcitonin inhibits osteoclast formation in mouse haematopoetic cells independently of transcriptional regulation by receptor activator of NF-{kappa}B and c-Fms","container-title":"The Journal of Endocrinology","page":"415-427","volume":"195","issue":"3","source":"PubMed","abstract":"The effects of calcitonin (CT) on osteoclast formation and gene expression have been studied in cultured mouse spleen cells and mouse bone marrow macrophages (BMMs). CT inhibited the formation of multinucleated osteoclasts and resorption pits in spleen cell cultures and BMM as well as in CD115(+) CD3(-) CD45R(-)sorted BMM cultures, incubated in the presence of macrophage colony-stimulating factor and receptor activator of NF-kappaB ligand (RANKL). No effect on apoptosis by CT was observed. CT did not affect the mRNA expressions of RANK and c-Fms, or the mRNA expressions of a wide variety of transcription factors and genes important for osteoclast differentiation and activity. CT induced inhibition of tartrate-resistant acid phosphatase (TRAP), positive multinucleated osteoclast formation was not associated with any decrease of total TRAP activity, resulting in a large number of TRAP(+) mononucleated cells in CT-treated cultures. CT did not affect the mRNA expression of dendritic cell-specific transmembrane protein, d2 isoform of vacuolar (H(+)) ATPase v(o) domain, a disintegrin and metalloproteinase domain 8 (ADAM8), ADAM12, DNAX-activating protein or Fc receptor common gamma chain suggested to be involved in fusion of mononucleated osteoclast progenitor cells. The inhibitory effect by CT was mimicked not only by compounds activating cAMP and protein kinase A (PKA) but also by a cAMP analogue activating the exchange protein directly activated by cAMP (Epac) pathway. It is concluded that CT, through cAMP/PKA/Epac cascades, inhibits osteoclast formation and that this effect is not associated with decreased transcription of genes known to be important for osteoclast progenitor cell differentiation, fusion or function.","DOI":"10.1677/JOE-07-0338","ISSN":"1479-6805","note":"PMID: 18000304","journalAbbreviation":"J. Endocrinol.","language":"eng","author":[{"family":"Granholm","given":"Susanne"},{"family":"Lundberg","given":"Pernilla"},{"family":"Lerner","given":"Ulf H."}],"issued":{"date-parts":[["2007",12]]},"PMID":"18000304"}},{"id":529,"uris":["http://zotero.org/users/local/JEBdmIpY/items/IGAA6AVP"],"uri":["http://zotero.org/users/local/JEBdmIpY/items/IGAA6AVP"],"itemData":{"id":529,"type":"article-journal","title":"Calcitonin controls bone formation by inhibiting the release of sphingosine 1-phosphate from osteoclasts","container-title":"Nature Communications","page":"5215","volume":"5","source":"PubMed","abstract":"The hormone calcitonin (CT) is primarily known for its pharmacologic action as an inhibitor of bone resorption, yet CT-deficient mice display increased bone formation. These findings raised the question about the underlying cellular and molecular mechanism of CT action. Here we show that either ubiquitous or osteoclast-specific inactivation of the murine CT receptor (CTR) causes increased bone formation. CT negatively regulates the osteoclast expression of Spns2 gene, which encodes a transporter for the signalling lipid sphingosine 1-phosphate (S1P). CTR-deficient mice show increased S1P levels, and their skeletal phenotype is normalized by deletion of the S1P receptor S1P3. Finally, pharmacologic treatment with the nonselective S1P receptor agonist FTY720 causes increased bone formation in wild-type, but not in S1P3-deficient mice. This study redefines the role of CT in skeletal biology, confirms that S1P acts as an osteoanabolic molecule in vivo and provides evidence for a pharmacologically exploitable crosstalk between osteoclasts and osteoblasts.","DOI":"10.1038/ncomms6215","ISSN":"2041-1723","note":"PMID: 25333900\nPMCID: PMC4205484","journalAbbreviation":"Nat Commun","language":"eng","author":[{"family":"Keller","given":"Johannes"},{"family":"Catala-Lehnen","given":"Philip"},{"family":"Huebner","given":"Antje K."},{"family":"Jeschke","given":"Anke"},{"family":"Heckt","given":"Timo"},{"family":"Lueth","given":"Anja"},{"family":"Krause","given":"Matthias"},{"family":"Koehne","given":"Till"},{"family":"Albers","given":"Joachim"},{"family":"Schulze","given":"Jochen"},{"family":"Schilling","given":"Sarah"},{"family":"Haberland","given":"Michael"},{"family":"Denninger","given":"Hannah"},{"family":"Neven","given":"Mona"},{"family":"Hermans-Borgmeyer","given":"Irm"},{"family":"Streichert","given":"Thomas"},{"family":"Breer","given":"Stefan"},{"family":"Barvencik","given":"Florian"},{"family":"Levkau","given":"Bodo"},{"family":"Rathkolb","given":"Birgit"},{"family":"Wolf","given":"Eckhard"},{"family":"Calzada-Wack","given":"Julia"},{"family":"Neff","given":"Frauke"},{"family":"Gailus-Durner","given":"Valerie"},{"family":"Fuchs","given":"Helmut"},{"family":"Angelis","given":"Martin Hrabĕ","non-dropping-particle":"de"},{"family":"Klutmann","given":"Susanne"},{"family":"Tsourdi","given":"Elena"},{"family":"Hofbauer","given":"Lorenz C."},{"family":"Kleuser","given":"Burkhard"},{"family":"Chun","given":"Jerold"},{"family":"Schinke","given":"Thorsten"},{"family":"Amling","given":"Michael"}],"issued":{"date-parts":[["2014"]]},"PMID":"25333900","PMCID":"PMC4205484"}}],"schema":"https://github.com/citation-style-language/schema/raw/master/csl-citation.json"} </w:instrText>
      </w:r>
      <w:r w:rsidR="00456FC4" w:rsidRPr="00B05F66">
        <w:rPr>
          <w:rFonts w:eastAsia="Times New Roman" w:cs="Times New Roman"/>
          <w:noProof/>
          <w:szCs w:val="24"/>
        </w:rPr>
        <w:fldChar w:fldCharType="separate"/>
      </w:r>
      <w:r w:rsidR="004F001B" w:rsidRPr="004F001B">
        <w:rPr>
          <w:rFonts w:cs="Times New Roman"/>
        </w:rPr>
        <w:t>(5,6)</w:t>
      </w:r>
      <w:r w:rsidR="00456FC4" w:rsidRPr="00B05F66">
        <w:rPr>
          <w:rFonts w:eastAsia="Times New Roman" w:cs="Times New Roman"/>
          <w:noProof/>
          <w:szCs w:val="24"/>
        </w:rPr>
        <w:fldChar w:fldCharType="end"/>
      </w:r>
      <w:r w:rsidRPr="00B05F66">
        <w:rPr>
          <w:rFonts w:eastAsia="Times New Roman" w:cs="Times New Roman"/>
          <w:szCs w:val="24"/>
        </w:rPr>
        <w:t>.</w:t>
      </w:r>
    </w:p>
    <w:p w:rsidR="00566EBB" w:rsidRPr="00B05F66" w:rsidRDefault="00566EBB" w:rsidP="00566EBB">
      <w:pPr>
        <w:spacing w:before="0" w:after="0"/>
        <w:jc w:val="both"/>
        <w:rPr>
          <w:rFonts w:eastAsia="Times New Roman" w:cs="Times New Roman"/>
          <w:szCs w:val="24"/>
        </w:rPr>
      </w:pPr>
    </w:p>
    <w:p w:rsidR="00566EBB" w:rsidRDefault="00566EBB" w:rsidP="00566EBB">
      <w:pPr>
        <w:spacing w:before="0" w:after="0"/>
        <w:jc w:val="both"/>
        <w:rPr>
          <w:rFonts w:cs="Times New Roman"/>
          <w:szCs w:val="24"/>
        </w:rPr>
      </w:pPr>
      <w:r w:rsidRPr="00B05F66" w:rsidDel="009F385B">
        <w:rPr>
          <w:rFonts w:cs="Times New Roman"/>
          <w:szCs w:val="24"/>
        </w:rPr>
        <w:t xml:space="preserve">The amount of free </w:t>
      </w:r>
      <w:proofErr w:type="spellStart"/>
      <w:r w:rsidRPr="00B05F66">
        <w:rPr>
          <w:rFonts w:cs="Times New Roman"/>
          <w:szCs w:val="24"/>
        </w:rPr>
        <w:t>s</w:t>
      </w:r>
      <w:r w:rsidRPr="00B05F66" w:rsidDel="009F385B">
        <w:rPr>
          <w:rFonts w:cs="Times New Roman"/>
          <w:szCs w:val="24"/>
        </w:rPr>
        <w:t>RANKL</w:t>
      </w:r>
      <w:proofErr w:type="spellEnd"/>
      <w:r w:rsidRPr="00B05F66" w:rsidDel="009F385B">
        <w:rPr>
          <w:rFonts w:cs="Times New Roman"/>
          <w:szCs w:val="24"/>
        </w:rPr>
        <w:t xml:space="preserve"> was determined using ELISA obtained from </w:t>
      </w:r>
      <w:proofErr w:type="spellStart"/>
      <w:r w:rsidRPr="00B05F66" w:rsidDel="009F385B">
        <w:rPr>
          <w:rFonts w:cs="Times New Roman"/>
          <w:szCs w:val="24"/>
        </w:rPr>
        <w:t>Biomedica</w:t>
      </w:r>
      <w:proofErr w:type="spellEnd"/>
      <w:r w:rsidRPr="00B05F66" w:rsidDel="009F385B">
        <w:rPr>
          <w:rFonts w:cs="Times New Roman"/>
          <w:szCs w:val="24"/>
        </w:rPr>
        <w:t xml:space="preserve"> (Vienna, Austria). </w:t>
      </w:r>
      <w:r w:rsidRPr="00B05F66">
        <w:rPr>
          <w:rFonts w:cs="Times New Roman"/>
          <w:szCs w:val="24"/>
        </w:rPr>
        <w:t xml:space="preserve">Bone-specific alkaline phosphatase (BAP) and osteocalcin (OCN) were measured with </w:t>
      </w:r>
      <w:r w:rsidRPr="00086E4F">
        <w:rPr>
          <w:rFonts w:cs="Times New Roman"/>
          <w:i/>
          <w:szCs w:val="24"/>
        </w:rPr>
        <w:t>in vitro</w:t>
      </w:r>
      <w:r w:rsidRPr="00B05F66">
        <w:rPr>
          <w:rFonts w:cs="Times New Roman"/>
          <w:szCs w:val="24"/>
        </w:rPr>
        <w:t xml:space="preserve"> diagnostic applicable ELISA assays obtained from Immunodiagnostic Systems Ltd (Frankfurt/Main, Germany), calcitonin ELISA was purchased from </w:t>
      </w:r>
      <w:proofErr w:type="spellStart"/>
      <w:r w:rsidRPr="00B05F66">
        <w:rPr>
          <w:rFonts w:cs="Times New Roman"/>
          <w:szCs w:val="24"/>
        </w:rPr>
        <w:t>BioVendor</w:t>
      </w:r>
      <w:proofErr w:type="spellEnd"/>
      <w:r w:rsidRPr="00B05F66">
        <w:rPr>
          <w:rFonts w:cs="Times New Roman"/>
          <w:szCs w:val="24"/>
        </w:rPr>
        <w:t xml:space="preserve"> (Brno, Czech Republic). All measurements were carried out according to the manufacturer’s instructions.</w:t>
      </w:r>
    </w:p>
    <w:p w:rsidR="00566EBB" w:rsidRPr="00B05F66" w:rsidRDefault="00566EBB" w:rsidP="00566EBB">
      <w:pPr>
        <w:spacing w:before="0" w:after="0"/>
        <w:jc w:val="both"/>
        <w:rPr>
          <w:rFonts w:cs="Times New Roman"/>
          <w:szCs w:val="24"/>
        </w:rPr>
      </w:pPr>
    </w:p>
    <w:p w:rsidR="00DE23E8" w:rsidRDefault="00566EBB" w:rsidP="00566EBB">
      <w:pPr>
        <w:spacing w:before="0" w:after="0"/>
        <w:jc w:val="both"/>
        <w:rPr>
          <w:rFonts w:cs="Times New Roman"/>
          <w:szCs w:val="24"/>
        </w:rPr>
      </w:pPr>
      <w:r>
        <w:rPr>
          <w:rFonts w:cs="Times New Roman"/>
          <w:szCs w:val="24"/>
        </w:rPr>
        <w:t>As shown in Figure S1, none of the measured factors showed a significant change after radon spa treatment compared to baseline levels before therapy.</w:t>
      </w:r>
    </w:p>
    <w:p w:rsidR="00566EBB" w:rsidRDefault="00566EBB" w:rsidP="00566EBB">
      <w:pPr>
        <w:spacing w:before="0" w:after="0"/>
        <w:jc w:val="both"/>
        <w:rPr>
          <w:rFonts w:cs="Times New Roman"/>
          <w:szCs w:val="24"/>
        </w:rPr>
      </w:pPr>
    </w:p>
    <w:p w:rsidR="00566EBB" w:rsidRDefault="00566EBB">
      <w:pPr>
        <w:spacing w:before="0" w:after="200" w:line="276" w:lineRule="auto"/>
        <w:rPr>
          <w:rFonts w:eastAsiaTheme="minorEastAsia" w:cs="Times New Roman"/>
          <w:szCs w:val="24"/>
        </w:rPr>
      </w:pPr>
      <w:r>
        <w:rPr>
          <w:rFonts w:eastAsiaTheme="minorEastAsia" w:cs="Times New Roman"/>
          <w:szCs w:val="24"/>
        </w:rPr>
        <w:br w:type="page"/>
      </w:r>
    </w:p>
    <w:p w:rsidR="00566EBB" w:rsidRPr="004F001B" w:rsidRDefault="00566EBB" w:rsidP="00566EBB">
      <w:pPr>
        <w:spacing w:before="0" w:after="0"/>
        <w:rPr>
          <w:rFonts w:eastAsiaTheme="minorEastAsia" w:cs="Times New Roman"/>
          <w:b/>
          <w:szCs w:val="24"/>
        </w:rPr>
      </w:pPr>
      <w:r w:rsidRPr="004F001B">
        <w:rPr>
          <w:rFonts w:eastAsiaTheme="minorEastAsia" w:cs="Times New Roman"/>
          <w:b/>
          <w:szCs w:val="24"/>
        </w:rPr>
        <w:lastRenderedPageBreak/>
        <w:t>Figure S1</w:t>
      </w:r>
    </w:p>
    <w:p w:rsidR="00566EBB" w:rsidRDefault="00566EBB" w:rsidP="00566EBB">
      <w:pPr>
        <w:spacing w:before="0" w:after="0"/>
        <w:jc w:val="center"/>
      </w:pPr>
      <w:r>
        <w:object w:dxaOrig="11606" w:dyaOrig="9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81.75pt" o:ole="">
            <v:imagedata r:id="rId9" o:title=""/>
          </v:shape>
          <o:OLEObject Type="Embed" ProgID="Prism6.Document" ShapeID="_x0000_i1025" DrawAspect="Content" ObjectID="_1543327737" r:id="rId10"/>
        </w:object>
      </w:r>
    </w:p>
    <w:p w:rsidR="00566EBB" w:rsidRPr="002F1B70" w:rsidRDefault="00566EBB" w:rsidP="00566EBB">
      <w:pPr>
        <w:spacing w:before="0" w:after="0"/>
        <w:jc w:val="both"/>
        <w:rPr>
          <w:rFonts w:eastAsia="Times New Roman" w:cs="Times New Roman"/>
          <w:szCs w:val="24"/>
        </w:rPr>
      </w:pPr>
      <w:r w:rsidRPr="002F1B70">
        <w:rPr>
          <w:rFonts w:eastAsia="Times New Roman" w:cs="Times New Roman"/>
          <w:szCs w:val="24"/>
        </w:rPr>
        <w:t xml:space="preserve">Figure S1: Effect of radon spa treatment on the levels of (A) free </w:t>
      </w:r>
      <w:proofErr w:type="spellStart"/>
      <w:r w:rsidRPr="002F1B70">
        <w:rPr>
          <w:rFonts w:eastAsia="Times New Roman" w:cs="Times New Roman"/>
          <w:szCs w:val="24"/>
        </w:rPr>
        <w:t>sRANKL</w:t>
      </w:r>
      <w:proofErr w:type="spellEnd"/>
      <w:r w:rsidRPr="002F1B70">
        <w:rPr>
          <w:rFonts w:eastAsia="Times New Roman" w:cs="Times New Roman"/>
          <w:szCs w:val="24"/>
        </w:rPr>
        <w:t xml:space="preserve">, (B) bone-specific alkaline phosphatase (BAP), (C) osteocalcin (OCN) and (D) calcitonin in the serum of patients with MSDs, measured at indicated times before (0 weeks) and after the onset of the therapy (6-30 weeks). Boxplots show the median, Tukey whiskers (median ± 1.5 times interquartile range), mean (+) and outliers (•). N=16 for free </w:t>
      </w:r>
      <w:proofErr w:type="spellStart"/>
      <w:r w:rsidRPr="002F1B70">
        <w:rPr>
          <w:rFonts w:eastAsia="Times New Roman" w:cs="Times New Roman"/>
          <w:szCs w:val="24"/>
        </w:rPr>
        <w:t>sRANKL</w:t>
      </w:r>
      <w:proofErr w:type="spellEnd"/>
      <w:r w:rsidRPr="002F1B70">
        <w:rPr>
          <w:rFonts w:eastAsia="Times New Roman" w:cs="Times New Roman"/>
          <w:szCs w:val="24"/>
        </w:rPr>
        <w:t>, N=23 for BAP, N=12 for OCN and N=15 for calcitonin.</w:t>
      </w:r>
    </w:p>
    <w:p w:rsidR="00566EBB" w:rsidRDefault="00566EBB" w:rsidP="00566EBB">
      <w:pPr>
        <w:spacing w:before="0" w:after="0"/>
        <w:rPr>
          <w:rFonts w:eastAsiaTheme="minorEastAsia" w:cs="Times New Roman"/>
          <w:szCs w:val="24"/>
        </w:rPr>
      </w:pPr>
    </w:p>
    <w:p w:rsidR="00566EBB" w:rsidRDefault="00566EBB" w:rsidP="00566EBB">
      <w:pPr>
        <w:spacing w:before="0" w:after="0"/>
        <w:jc w:val="both"/>
        <w:rPr>
          <w:rFonts w:eastAsia="Times New Roman" w:cs="Times New Roman"/>
          <w:szCs w:val="24"/>
        </w:rPr>
      </w:pPr>
      <w:r>
        <w:rPr>
          <w:rFonts w:eastAsiaTheme="minorEastAsia" w:cs="Times New Roman"/>
          <w:szCs w:val="24"/>
        </w:rPr>
        <w:t xml:space="preserve">In addition to the measurements of 32 patient samples presented in the paper, we show here the data set completed by measurements of additional patients. </w:t>
      </w:r>
      <w:r w:rsidRPr="00244082">
        <w:rPr>
          <w:rFonts w:eastAsia="Times New Roman" w:cs="Times New Roman"/>
          <w:szCs w:val="24"/>
        </w:rPr>
        <w:t>The data sets comprise</w:t>
      </w:r>
      <w:r>
        <w:rPr>
          <w:rFonts w:eastAsia="Times New Roman" w:cs="Times New Roman"/>
          <w:szCs w:val="24"/>
        </w:rPr>
        <w:t xml:space="preserve"> a compilation of the</w:t>
      </w:r>
      <w:r w:rsidRPr="00244082">
        <w:rPr>
          <w:rFonts w:eastAsia="Times New Roman" w:cs="Times New Roman"/>
          <w:szCs w:val="24"/>
        </w:rPr>
        <w:t xml:space="preserve"> results obtain</w:t>
      </w:r>
      <w:r>
        <w:rPr>
          <w:rFonts w:eastAsia="Times New Roman" w:cs="Times New Roman"/>
          <w:szCs w:val="24"/>
        </w:rPr>
        <w:t>e</w:t>
      </w:r>
      <w:r w:rsidRPr="00244082">
        <w:rPr>
          <w:rFonts w:eastAsia="Times New Roman" w:cs="Times New Roman"/>
          <w:szCs w:val="24"/>
        </w:rPr>
        <w:t>d in 32 patient samples, presented in Fig.</w:t>
      </w:r>
      <w:r>
        <w:rPr>
          <w:rFonts w:eastAsia="Times New Roman" w:cs="Times New Roman"/>
          <w:szCs w:val="24"/>
        </w:rPr>
        <w:t>1, 2 and 3</w:t>
      </w:r>
      <w:r w:rsidRPr="00244082">
        <w:rPr>
          <w:rFonts w:eastAsia="Times New Roman" w:cs="Times New Roman"/>
          <w:szCs w:val="24"/>
        </w:rPr>
        <w:t>, and additional patient samples</w:t>
      </w:r>
      <w:r>
        <w:rPr>
          <w:rFonts w:eastAsia="Times New Roman" w:cs="Times New Roman"/>
          <w:szCs w:val="24"/>
        </w:rPr>
        <w:t>, randomly chosen according to their availability</w:t>
      </w:r>
      <w:r w:rsidRPr="00244082">
        <w:rPr>
          <w:rFonts w:eastAsia="Times New Roman" w:cs="Times New Roman"/>
          <w:szCs w:val="24"/>
        </w:rPr>
        <w:t>.</w:t>
      </w:r>
    </w:p>
    <w:p w:rsidR="004F001B" w:rsidRDefault="004F001B" w:rsidP="00566EBB">
      <w:pPr>
        <w:spacing w:before="0" w:after="0"/>
        <w:jc w:val="both"/>
        <w:rPr>
          <w:rFonts w:eastAsiaTheme="minorEastAsia" w:cs="Times New Roman"/>
          <w:szCs w:val="24"/>
        </w:rPr>
      </w:pPr>
    </w:p>
    <w:p w:rsidR="00566EBB" w:rsidRPr="00EC381E" w:rsidRDefault="00566EBB" w:rsidP="00566EBB">
      <w:pPr>
        <w:spacing w:before="0" w:after="0"/>
        <w:jc w:val="both"/>
        <w:rPr>
          <w:rFonts w:eastAsiaTheme="minorEastAsia" w:cs="Times New Roman"/>
          <w:szCs w:val="24"/>
        </w:rPr>
      </w:pPr>
      <w:r w:rsidRPr="00EC381E">
        <w:rPr>
          <w:rFonts w:eastAsiaTheme="minorEastAsia" w:cs="Times New Roman"/>
          <w:szCs w:val="24"/>
        </w:rPr>
        <w:t xml:space="preserve">Neither for CTX, COMP, OPG, nor for </w:t>
      </w:r>
      <w:proofErr w:type="spellStart"/>
      <w:r w:rsidRPr="00EC381E">
        <w:rPr>
          <w:rFonts w:eastAsiaTheme="minorEastAsia" w:cs="Times New Roman"/>
          <w:szCs w:val="24"/>
        </w:rPr>
        <w:t>visfatin</w:t>
      </w:r>
      <w:proofErr w:type="spellEnd"/>
      <w:r w:rsidRPr="00EC381E">
        <w:rPr>
          <w:rFonts w:eastAsiaTheme="minorEastAsia" w:cs="Times New Roman"/>
          <w:szCs w:val="24"/>
        </w:rPr>
        <w:t xml:space="preserve">, adiponectin or resistin the results are changed by the increase in patients number (Fig. S2, </w:t>
      </w:r>
      <w:r>
        <w:rPr>
          <w:rFonts w:eastAsiaTheme="minorEastAsia" w:cs="Times New Roman"/>
          <w:szCs w:val="24"/>
        </w:rPr>
        <w:t>S</w:t>
      </w:r>
      <w:r w:rsidRPr="00EC381E">
        <w:rPr>
          <w:rFonts w:eastAsiaTheme="minorEastAsia" w:cs="Times New Roman"/>
          <w:szCs w:val="24"/>
        </w:rPr>
        <w:t>3).</w:t>
      </w:r>
    </w:p>
    <w:p w:rsidR="00566EBB" w:rsidRDefault="00566EBB" w:rsidP="00566EBB">
      <w:pPr>
        <w:spacing w:before="0" w:after="0"/>
        <w:rPr>
          <w:rFonts w:eastAsiaTheme="minorEastAsia" w:cs="Times New Roman"/>
          <w:szCs w:val="24"/>
        </w:rPr>
      </w:pPr>
    </w:p>
    <w:p w:rsidR="00566EBB" w:rsidRDefault="00566EBB">
      <w:pPr>
        <w:spacing w:before="0" w:after="200" w:line="276" w:lineRule="auto"/>
        <w:rPr>
          <w:rFonts w:eastAsiaTheme="minorEastAsia" w:cs="Times New Roman"/>
          <w:szCs w:val="24"/>
        </w:rPr>
      </w:pPr>
      <w:bookmarkStart w:id="0" w:name="OLE_LINK3"/>
      <w:r>
        <w:rPr>
          <w:rFonts w:eastAsiaTheme="minorEastAsia" w:cs="Times New Roman"/>
          <w:szCs w:val="24"/>
        </w:rPr>
        <w:br w:type="page"/>
      </w:r>
    </w:p>
    <w:p w:rsidR="00566EBB" w:rsidRPr="004F001B" w:rsidRDefault="00566EBB" w:rsidP="00566EBB">
      <w:pPr>
        <w:spacing w:before="0" w:after="0"/>
        <w:rPr>
          <w:rFonts w:cs="Times New Roman"/>
          <w:b/>
          <w:szCs w:val="24"/>
        </w:rPr>
      </w:pPr>
      <w:r w:rsidRPr="004F001B">
        <w:rPr>
          <w:rFonts w:eastAsiaTheme="minorEastAsia" w:cs="Times New Roman"/>
          <w:b/>
          <w:szCs w:val="24"/>
        </w:rPr>
        <w:lastRenderedPageBreak/>
        <w:t>Figure</w:t>
      </w:r>
      <w:r w:rsidRPr="004F001B">
        <w:rPr>
          <w:rFonts w:cs="Times New Roman"/>
          <w:b/>
          <w:szCs w:val="24"/>
        </w:rPr>
        <w:t xml:space="preserve"> S2</w:t>
      </w:r>
    </w:p>
    <w:bookmarkEnd w:id="0"/>
    <w:p w:rsidR="00566EBB" w:rsidRDefault="00566EBB" w:rsidP="00566EBB">
      <w:pPr>
        <w:spacing w:before="0" w:after="0"/>
        <w:jc w:val="center"/>
      </w:pPr>
      <w:r>
        <w:object w:dxaOrig="12019" w:dyaOrig="10526">
          <v:shape id="_x0000_i1026" type="#_x0000_t75" style="width:453pt;height:396.75pt" o:ole="">
            <v:imagedata r:id="rId11" o:title=""/>
          </v:shape>
          <o:OLEObject Type="Embed" ProgID="Prism7.Document" ShapeID="_x0000_i1026" DrawAspect="Content" ObjectID="_1543327738" r:id="rId12"/>
        </w:object>
      </w:r>
    </w:p>
    <w:p w:rsidR="00566EBB" w:rsidRPr="002F1B70" w:rsidRDefault="00566EBB" w:rsidP="00566EBB">
      <w:pPr>
        <w:spacing w:before="0" w:after="0"/>
        <w:jc w:val="both"/>
        <w:rPr>
          <w:rFonts w:eastAsia="Times New Roman" w:cs="Times New Roman"/>
          <w:szCs w:val="24"/>
        </w:rPr>
      </w:pPr>
      <w:r w:rsidRPr="002F1B70">
        <w:rPr>
          <w:rFonts w:eastAsia="Times New Roman" w:cs="Times New Roman"/>
          <w:szCs w:val="24"/>
        </w:rPr>
        <w:t xml:space="preserve">Figure S2: Effect of radon spa treatment on the levels of (A) collagen fragments type-1 (CTX-1), (B) cartilage oligomeric matrix protein (COMP) and (C) </w:t>
      </w:r>
      <w:proofErr w:type="spellStart"/>
      <w:r w:rsidRPr="002F1B70">
        <w:rPr>
          <w:rFonts w:eastAsia="Times New Roman" w:cs="Times New Roman"/>
          <w:szCs w:val="24"/>
        </w:rPr>
        <w:t>osteoprotegerin</w:t>
      </w:r>
      <w:proofErr w:type="spellEnd"/>
      <w:r w:rsidRPr="002F1B70">
        <w:rPr>
          <w:rFonts w:eastAsia="Times New Roman" w:cs="Times New Roman"/>
          <w:szCs w:val="24"/>
        </w:rPr>
        <w:t xml:space="preserve"> (OPG) in the serum of patients with MSDs, measured at indicated times before (0 weeks) and after the onset of the therapy (6-30 weeks). Boxplots show the median, Tukey whiskers (median ± 1.5 times interquartile range), mean (+) and outliers (•). N=40 for free CTX-I, N=37 for COMP and N=34 for OPG.</w:t>
      </w:r>
      <w:r w:rsidRPr="002E3509">
        <w:rPr>
          <w:rFonts w:eastAsia="Times New Roman" w:cs="Times New Roman"/>
        </w:rPr>
        <w:t xml:space="preserve"> </w:t>
      </w:r>
      <w:r w:rsidRPr="00086E4F">
        <w:rPr>
          <w:rFonts w:eastAsia="Times New Roman" w:cs="Times New Roman"/>
        </w:rPr>
        <w:t xml:space="preserve">*P ≤ 0.05, ***P ≤ 0.001, </w:t>
      </w:r>
      <w:r>
        <w:rPr>
          <w:rFonts w:eastAsia="Times New Roman" w:cs="Times New Roman"/>
        </w:rPr>
        <w:t xml:space="preserve">CTX-I and COMP: </w:t>
      </w:r>
      <w:r w:rsidRPr="002F1B70">
        <w:rPr>
          <w:rFonts w:eastAsia="Times New Roman" w:cs="Times New Roman"/>
          <w:szCs w:val="24"/>
        </w:rPr>
        <w:t>Wilcoxon matched-paired signed rank test</w:t>
      </w:r>
      <w:r>
        <w:rPr>
          <w:rFonts w:eastAsia="Times New Roman" w:cs="Times New Roman"/>
          <w:szCs w:val="24"/>
        </w:rPr>
        <w:t>; OPG: two-tailed t- test</w:t>
      </w:r>
      <w:r w:rsidRPr="00C92170">
        <w:rPr>
          <w:rFonts w:eastAsia="Times New Roman" w:cs="Times New Roman"/>
          <w:szCs w:val="24"/>
        </w:rPr>
        <w:t xml:space="preserve">. The data sets comprise </w:t>
      </w:r>
      <w:r>
        <w:rPr>
          <w:rFonts w:eastAsia="Times New Roman" w:cs="Times New Roman"/>
          <w:szCs w:val="24"/>
        </w:rPr>
        <w:t xml:space="preserve">compiled </w:t>
      </w:r>
      <w:r w:rsidRPr="00C92170">
        <w:rPr>
          <w:rFonts w:eastAsia="Times New Roman" w:cs="Times New Roman"/>
          <w:szCs w:val="24"/>
        </w:rPr>
        <w:t xml:space="preserve">results </w:t>
      </w:r>
      <w:r>
        <w:rPr>
          <w:rFonts w:eastAsia="Times New Roman" w:cs="Times New Roman"/>
          <w:szCs w:val="24"/>
        </w:rPr>
        <w:t>(</w:t>
      </w:r>
      <w:r w:rsidRPr="00C92170">
        <w:rPr>
          <w:rFonts w:eastAsia="Times New Roman" w:cs="Times New Roman"/>
          <w:szCs w:val="24"/>
        </w:rPr>
        <w:t xml:space="preserve">Fig.1 and 2, </w:t>
      </w:r>
      <w:r>
        <w:rPr>
          <w:rFonts w:eastAsia="Times New Roman" w:cs="Times New Roman"/>
          <w:szCs w:val="24"/>
        </w:rPr>
        <w:t>plus</w:t>
      </w:r>
      <w:r w:rsidRPr="00C92170">
        <w:rPr>
          <w:rFonts w:eastAsia="Times New Roman" w:cs="Times New Roman"/>
          <w:szCs w:val="24"/>
        </w:rPr>
        <w:t xml:space="preserve"> additional patient samples</w:t>
      </w:r>
      <w:r>
        <w:rPr>
          <w:rFonts w:eastAsia="Times New Roman" w:cs="Times New Roman"/>
          <w:szCs w:val="24"/>
        </w:rPr>
        <w:t>)</w:t>
      </w:r>
      <w:r w:rsidRPr="00C92170">
        <w:rPr>
          <w:rFonts w:eastAsia="Times New Roman" w:cs="Times New Roman"/>
          <w:szCs w:val="24"/>
        </w:rPr>
        <w:t xml:space="preserve">. </w:t>
      </w:r>
    </w:p>
    <w:p w:rsidR="00566EBB" w:rsidRDefault="00566EBB" w:rsidP="00566EBB">
      <w:pPr>
        <w:spacing w:before="0" w:after="0"/>
        <w:rPr>
          <w:rFonts w:eastAsiaTheme="minorEastAsia" w:cs="Times New Roman"/>
          <w:szCs w:val="24"/>
        </w:rPr>
      </w:pPr>
    </w:p>
    <w:p w:rsidR="00566EBB" w:rsidRDefault="00566EBB">
      <w:pPr>
        <w:spacing w:before="0" w:after="200" w:line="276" w:lineRule="auto"/>
        <w:rPr>
          <w:rFonts w:eastAsiaTheme="minorEastAsia" w:cs="Times New Roman"/>
          <w:szCs w:val="24"/>
        </w:rPr>
      </w:pPr>
      <w:r>
        <w:rPr>
          <w:rFonts w:eastAsiaTheme="minorEastAsia" w:cs="Times New Roman"/>
          <w:szCs w:val="24"/>
        </w:rPr>
        <w:br w:type="page"/>
      </w:r>
    </w:p>
    <w:p w:rsidR="00566EBB" w:rsidRPr="004F001B" w:rsidRDefault="00566EBB" w:rsidP="00566EBB">
      <w:pPr>
        <w:spacing w:before="0" w:after="0"/>
        <w:rPr>
          <w:rFonts w:cs="Times New Roman"/>
          <w:b/>
          <w:szCs w:val="24"/>
        </w:rPr>
      </w:pPr>
      <w:r w:rsidRPr="004F001B">
        <w:rPr>
          <w:rFonts w:eastAsiaTheme="minorEastAsia" w:cs="Times New Roman"/>
          <w:b/>
          <w:szCs w:val="24"/>
        </w:rPr>
        <w:lastRenderedPageBreak/>
        <w:t>Figure</w:t>
      </w:r>
      <w:r w:rsidRPr="004F001B">
        <w:rPr>
          <w:rFonts w:cs="Times New Roman"/>
          <w:b/>
          <w:szCs w:val="24"/>
        </w:rPr>
        <w:t xml:space="preserve"> S3</w:t>
      </w:r>
    </w:p>
    <w:p w:rsidR="00566EBB" w:rsidRDefault="00566EBB" w:rsidP="00566EBB">
      <w:pPr>
        <w:spacing w:before="0" w:after="0"/>
        <w:jc w:val="center"/>
      </w:pPr>
      <w:r>
        <w:object w:dxaOrig="12550" w:dyaOrig="10354">
          <v:shape id="_x0000_i1027" type="#_x0000_t75" style="width:453pt;height:373.5pt" o:ole="">
            <v:imagedata r:id="rId13" o:title=""/>
          </v:shape>
          <o:OLEObject Type="Embed" ProgID="Prism6.Document" ShapeID="_x0000_i1027" DrawAspect="Content" ObjectID="_1543327739" r:id="rId14"/>
        </w:object>
      </w:r>
    </w:p>
    <w:p w:rsidR="00566EBB" w:rsidRPr="002E3509" w:rsidRDefault="00566EBB" w:rsidP="00566EBB">
      <w:pPr>
        <w:spacing w:before="0" w:after="0"/>
        <w:jc w:val="both"/>
        <w:rPr>
          <w:rFonts w:eastAsia="Times New Roman" w:cs="Times New Roman"/>
          <w:szCs w:val="24"/>
        </w:rPr>
      </w:pPr>
      <w:r w:rsidRPr="002E3509">
        <w:rPr>
          <w:rFonts w:eastAsia="Times New Roman" w:cs="Times New Roman"/>
          <w:szCs w:val="24"/>
        </w:rPr>
        <w:t xml:space="preserve">Figure S3: Effect of radon spa treatment on the levels of </w:t>
      </w:r>
      <w:proofErr w:type="spellStart"/>
      <w:r w:rsidRPr="002E3509">
        <w:rPr>
          <w:rFonts w:eastAsia="Times New Roman" w:cs="Times New Roman"/>
          <w:szCs w:val="24"/>
        </w:rPr>
        <w:t>visfatin</w:t>
      </w:r>
      <w:proofErr w:type="spellEnd"/>
      <w:r w:rsidRPr="002E3509">
        <w:rPr>
          <w:rFonts w:eastAsia="Times New Roman" w:cs="Times New Roman"/>
          <w:szCs w:val="24"/>
        </w:rPr>
        <w:t xml:space="preserve">, adiponectin and resistin in serum of patients with MSDs. The concentration of appropriate </w:t>
      </w:r>
      <w:proofErr w:type="spellStart"/>
      <w:r w:rsidRPr="002E3509">
        <w:rPr>
          <w:rFonts w:eastAsia="Times New Roman" w:cs="Times New Roman"/>
          <w:szCs w:val="24"/>
        </w:rPr>
        <w:t>adipokines</w:t>
      </w:r>
      <w:proofErr w:type="spellEnd"/>
      <w:r w:rsidRPr="002E3509">
        <w:rPr>
          <w:rFonts w:eastAsia="Times New Roman" w:cs="Times New Roman"/>
          <w:szCs w:val="24"/>
        </w:rPr>
        <w:t xml:space="preserve"> was measured at the indicated weeks before (0 weeks) and after onset of the therapy (6-30 weeks). </w:t>
      </w:r>
      <w:r w:rsidRPr="002F1B70">
        <w:rPr>
          <w:rFonts w:eastAsia="Times New Roman" w:cs="Times New Roman"/>
          <w:szCs w:val="24"/>
        </w:rPr>
        <w:t xml:space="preserve">Boxplots show the median, Tukey whiskers (median ± 1.5 times interquartile range), mean (+) and outliers (•). </w:t>
      </w:r>
      <w:r w:rsidRPr="002E3509">
        <w:rPr>
          <w:rFonts w:eastAsia="Times New Roman" w:cs="Times New Roman"/>
          <w:szCs w:val="24"/>
        </w:rPr>
        <w:t xml:space="preserve">N=44 for </w:t>
      </w:r>
      <w:proofErr w:type="spellStart"/>
      <w:r w:rsidRPr="002E3509">
        <w:rPr>
          <w:rFonts w:eastAsia="Times New Roman" w:cs="Times New Roman"/>
          <w:szCs w:val="24"/>
        </w:rPr>
        <w:t>visfatin</w:t>
      </w:r>
      <w:proofErr w:type="spellEnd"/>
      <w:r w:rsidRPr="002E3509">
        <w:rPr>
          <w:rFonts w:eastAsia="Times New Roman" w:cs="Times New Roman"/>
          <w:szCs w:val="24"/>
        </w:rPr>
        <w:t xml:space="preserve">, N=39 for adiponectin and N=34 for resistin. *P ≤ 0.05, **P ≤ 0.01, ****P ≤ 0.0001, </w:t>
      </w:r>
      <w:r w:rsidRPr="002F1B70">
        <w:rPr>
          <w:rFonts w:eastAsia="Times New Roman" w:cs="Times New Roman"/>
          <w:szCs w:val="24"/>
        </w:rPr>
        <w:t>Wilcoxon matched-paired signed rank test</w:t>
      </w:r>
      <w:r w:rsidRPr="002E3509">
        <w:rPr>
          <w:rFonts w:eastAsia="Times New Roman" w:cs="Times New Roman"/>
          <w:szCs w:val="24"/>
        </w:rPr>
        <w:t>.</w:t>
      </w:r>
      <w:r w:rsidRPr="00C92170">
        <w:rPr>
          <w:rFonts w:eastAsia="Times New Roman" w:cs="Times New Roman"/>
          <w:szCs w:val="24"/>
        </w:rPr>
        <w:t xml:space="preserve"> The data sets comprise </w:t>
      </w:r>
      <w:r>
        <w:rPr>
          <w:rFonts w:eastAsia="Times New Roman" w:cs="Times New Roman"/>
          <w:szCs w:val="24"/>
        </w:rPr>
        <w:t xml:space="preserve">compiled </w:t>
      </w:r>
      <w:r w:rsidRPr="00C92170">
        <w:rPr>
          <w:rFonts w:eastAsia="Times New Roman" w:cs="Times New Roman"/>
          <w:szCs w:val="24"/>
        </w:rPr>
        <w:t xml:space="preserve">results </w:t>
      </w:r>
      <w:r>
        <w:rPr>
          <w:rFonts w:eastAsia="Times New Roman" w:cs="Times New Roman"/>
          <w:szCs w:val="24"/>
        </w:rPr>
        <w:t>(</w:t>
      </w:r>
      <w:r w:rsidRPr="00C92170">
        <w:rPr>
          <w:rFonts w:eastAsia="Times New Roman" w:cs="Times New Roman"/>
          <w:szCs w:val="24"/>
        </w:rPr>
        <w:t>Fig.</w:t>
      </w:r>
      <w:r>
        <w:rPr>
          <w:rFonts w:eastAsia="Times New Roman" w:cs="Times New Roman"/>
          <w:szCs w:val="24"/>
        </w:rPr>
        <w:t>3</w:t>
      </w:r>
      <w:r w:rsidRPr="00C92170">
        <w:rPr>
          <w:rFonts w:eastAsia="Times New Roman" w:cs="Times New Roman"/>
          <w:szCs w:val="24"/>
        </w:rPr>
        <w:t xml:space="preserve">, </w:t>
      </w:r>
      <w:r>
        <w:rPr>
          <w:rFonts w:eastAsia="Times New Roman" w:cs="Times New Roman"/>
          <w:szCs w:val="24"/>
        </w:rPr>
        <w:t>plus</w:t>
      </w:r>
      <w:r w:rsidRPr="00C92170">
        <w:rPr>
          <w:rFonts w:eastAsia="Times New Roman" w:cs="Times New Roman"/>
          <w:szCs w:val="24"/>
        </w:rPr>
        <w:t xml:space="preserve"> additional patient samples</w:t>
      </w:r>
      <w:r>
        <w:rPr>
          <w:rFonts w:eastAsia="Times New Roman" w:cs="Times New Roman"/>
          <w:szCs w:val="24"/>
        </w:rPr>
        <w:t>)</w:t>
      </w:r>
      <w:r w:rsidRPr="00C92170">
        <w:rPr>
          <w:rFonts w:eastAsia="Times New Roman" w:cs="Times New Roman"/>
          <w:szCs w:val="24"/>
        </w:rPr>
        <w:t>.</w:t>
      </w:r>
    </w:p>
    <w:p w:rsidR="00566EBB" w:rsidRDefault="00566EBB" w:rsidP="00566EBB">
      <w:pPr>
        <w:spacing w:before="0" w:after="0"/>
        <w:rPr>
          <w:rStyle w:val="normaltextrun"/>
          <w:rFonts w:eastAsiaTheme="minorEastAsia"/>
          <w:color w:val="000000" w:themeColor="text1"/>
          <w:szCs w:val="24"/>
        </w:rPr>
      </w:pPr>
    </w:p>
    <w:p w:rsidR="00566EBB" w:rsidRPr="00086E4F" w:rsidRDefault="00566EBB" w:rsidP="00566EBB">
      <w:pPr>
        <w:spacing w:before="0" w:after="0"/>
        <w:jc w:val="both"/>
        <w:rPr>
          <w:rFonts w:eastAsia="Times New Roman" w:cs="Times New Roman"/>
        </w:rPr>
      </w:pPr>
      <w:r w:rsidRPr="00EC381E">
        <w:rPr>
          <w:rFonts w:eastAsia="Times New Roman" w:cs="Times New Roman"/>
          <w:szCs w:val="24"/>
        </w:rPr>
        <w:t>We further analyzed the levels of CTX, based on gender distribution and age of</w:t>
      </w:r>
      <w:r>
        <w:rPr>
          <w:rFonts w:eastAsia="Times New Roman" w:cs="Times New Roman"/>
          <w:szCs w:val="24"/>
        </w:rPr>
        <w:t xml:space="preserve"> </w:t>
      </w:r>
      <w:r w:rsidRPr="00EC381E">
        <w:rPr>
          <w:rFonts w:eastAsia="Times New Roman" w:cs="Times New Roman"/>
          <w:szCs w:val="24"/>
        </w:rPr>
        <w:t>the patients (Fig. S4). We found that baseline levels are higher in female compared to male patients</w:t>
      </w:r>
      <w:r w:rsidR="00692B02">
        <w:rPr>
          <w:rFonts w:eastAsia="Times New Roman" w:cs="Times New Roman"/>
          <w:szCs w:val="24"/>
        </w:rPr>
        <w:t xml:space="preserve"> (Fig. S4 A)</w:t>
      </w:r>
      <w:r w:rsidRPr="00EC381E">
        <w:rPr>
          <w:rFonts w:eastAsia="Times New Roman" w:cs="Times New Roman"/>
          <w:szCs w:val="24"/>
        </w:rPr>
        <w:t>, probably due to postmenopausal changes related to the mean age the patients. Both for male and female patients, radon spa treatment led to a decrease in serum levels of CTX. No correlation was found with the age of the patients</w:t>
      </w:r>
      <w:r w:rsidR="00692B02">
        <w:rPr>
          <w:rFonts w:eastAsia="Times New Roman" w:cs="Times New Roman"/>
          <w:szCs w:val="24"/>
        </w:rPr>
        <w:t xml:space="preserve"> </w:t>
      </w:r>
      <w:r w:rsidR="00692B02">
        <w:rPr>
          <w:rFonts w:eastAsia="Times New Roman" w:cs="Times New Roman"/>
          <w:szCs w:val="24"/>
        </w:rPr>
        <w:t xml:space="preserve">(Fig. </w:t>
      </w:r>
      <w:proofErr w:type="gramStart"/>
      <w:r w:rsidR="00692B02">
        <w:rPr>
          <w:rFonts w:eastAsia="Times New Roman" w:cs="Times New Roman"/>
          <w:szCs w:val="24"/>
        </w:rPr>
        <w:t xml:space="preserve">S4 </w:t>
      </w:r>
      <w:r w:rsidR="00692B02">
        <w:rPr>
          <w:rFonts w:eastAsia="Times New Roman" w:cs="Times New Roman"/>
          <w:szCs w:val="24"/>
        </w:rPr>
        <w:t>B</w:t>
      </w:r>
      <w:r w:rsidR="00692B02">
        <w:rPr>
          <w:rFonts w:eastAsia="Times New Roman" w:cs="Times New Roman"/>
          <w:szCs w:val="24"/>
        </w:rPr>
        <w:t>)</w:t>
      </w:r>
      <w:r w:rsidRPr="00EC381E">
        <w:rPr>
          <w:rFonts w:eastAsia="Times New Roman" w:cs="Times New Roman"/>
          <w:szCs w:val="24"/>
        </w:rPr>
        <w:t>.</w:t>
      </w:r>
      <w:proofErr w:type="gramEnd"/>
      <w:r w:rsidRPr="00EC381E">
        <w:rPr>
          <w:rFonts w:eastAsia="Times New Roman" w:cs="Times New Roman"/>
          <w:szCs w:val="24"/>
        </w:rPr>
        <w:t xml:space="preserve"> </w:t>
      </w:r>
    </w:p>
    <w:p w:rsidR="00566EBB" w:rsidRPr="0026712C" w:rsidRDefault="00566EBB" w:rsidP="00566EBB">
      <w:pPr>
        <w:spacing w:before="0" w:after="0"/>
        <w:rPr>
          <w:rFonts w:eastAsiaTheme="minorEastAsia"/>
          <w:szCs w:val="24"/>
        </w:rPr>
      </w:pPr>
    </w:p>
    <w:p w:rsidR="00566EBB" w:rsidRDefault="00566EBB">
      <w:pPr>
        <w:spacing w:before="0" w:after="200" w:line="276" w:lineRule="auto"/>
        <w:rPr>
          <w:rFonts w:eastAsiaTheme="minorEastAsia" w:cs="Times New Roman"/>
          <w:szCs w:val="24"/>
        </w:rPr>
      </w:pPr>
      <w:r>
        <w:rPr>
          <w:rFonts w:eastAsiaTheme="minorEastAsia" w:cs="Times New Roman"/>
          <w:szCs w:val="24"/>
        </w:rPr>
        <w:br w:type="page"/>
      </w:r>
    </w:p>
    <w:p w:rsidR="00566EBB" w:rsidRPr="004F001B" w:rsidRDefault="00566EBB" w:rsidP="00566EBB">
      <w:pPr>
        <w:spacing w:before="0" w:after="0"/>
        <w:rPr>
          <w:rFonts w:eastAsiaTheme="minorEastAsia" w:cs="Times New Roman"/>
          <w:b/>
          <w:szCs w:val="24"/>
        </w:rPr>
      </w:pPr>
      <w:r w:rsidRPr="004F001B">
        <w:rPr>
          <w:rFonts w:eastAsiaTheme="minorEastAsia" w:cs="Times New Roman"/>
          <w:b/>
          <w:szCs w:val="24"/>
        </w:rPr>
        <w:lastRenderedPageBreak/>
        <w:t>Figure S4</w:t>
      </w:r>
    </w:p>
    <w:p w:rsidR="00566EBB" w:rsidRPr="00F2627F" w:rsidRDefault="00566EBB" w:rsidP="00566EBB">
      <w:pPr>
        <w:spacing w:before="0" w:after="0"/>
        <w:jc w:val="center"/>
      </w:pPr>
      <w:r>
        <w:object w:dxaOrig="13834" w:dyaOrig="5609">
          <v:shape id="_x0000_i1028" type="#_x0000_t75" style="width:475.5pt;height:192.75pt" o:ole="">
            <v:imagedata r:id="rId15" o:title=""/>
          </v:shape>
          <o:OLEObject Type="Embed" ProgID="Prism6.Document" ShapeID="_x0000_i1028" DrawAspect="Content" ObjectID="_1543327740" r:id="rId16"/>
        </w:object>
      </w:r>
    </w:p>
    <w:p w:rsidR="00566EBB" w:rsidRPr="002E3509" w:rsidRDefault="00566EBB" w:rsidP="00566EBB">
      <w:pPr>
        <w:spacing w:before="0" w:after="0"/>
        <w:jc w:val="both"/>
        <w:rPr>
          <w:rFonts w:eastAsia="Times New Roman" w:cs="Times New Roman"/>
          <w:szCs w:val="24"/>
        </w:rPr>
      </w:pPr>
      <w:r w:rsidRPr="00F2627F">
        <w:rPr>
          <w:rFonts w:eastAsia="Times New Roman" w:cs="Times New Roman"/>
          <w:szCs w:val="24"/>
        </w:rPr>
        <w:t>Figure S</w:t>
      </w:r>
      <w:r>
        <w:rPr>
          <w:rFonts w:eastAsia="Times New Roman" w:cs="Times New Roman"/>
          <w:szCs w:val="24"/>
        </w:rPr>
        <w:t>4</w:t>
      </w:r>
      <w:r w:rsidRPr="00F2627F">
        <w:rPr>
          <w:rFonts w:eastAsia="Times New Roman" w:cs="Times New Roman"/>
          <w:szCs w:val="24"/>
        </w:rPr>
        <w:t xml:space="preserve">: (A) Effect of radon spa treatment on the CTX-I levels in the serum of male (N=12) and female (N=28) MSD patients, measured at the indicated time points before (0 weeks) and after the onset of the treatment (6-30 weeks). </w:t>
      </w:r>
      <w:r w:rsidRPr="002E3509">
        <w:rPr>
          <w:rFonts w:eastAsia="Times New Roman" w:cs="Times New Roman"/>
          <w:szCs w:val="24"/>
        </w:rPr>
        <w:t>Boxplots show the median, Tukey whiskers (median ± 1.5 times interquartile range), mean (+) and outliers (•)</w:t>
      </w:r>
      <w:r w:rsidRPr="002E3509">
        <w:rPr>
          <w:rFonts w:eastAsia="Times New Roman"/>
        </w:rPr>
        <w:t>.</w:t>
      </w:r>
      <w:r w:rsidRPr="002E3509">
        <w:rPr>
          <w:rFonts w:eastAsia="Times New Roman" w:cs="Times New Roman"/>
          <w:szCs w:val="24"/>
        </w:rPr>
        <w:t xml:space="preserve"> *P ≤ 0.05, **P ≤ 0.01, Wilcoxon matched-paired signed rank test. (B) Relation between CTX-I levels and age of the patients (Spearman correlation, P = 0.7451, r = 0.06194). </w:t>
      </w:r>
    </w:p>
    <w:p w:rsidR="00566EBB" w:rsidRDefault="00566EBB" w:rsidP="00566EBB">
      <w:pPr>
        <w:spacing w:before="0" w:after="0"/>
        <w:rPr>
          <w:rFonts w:eastAsiaTheme="minorEastAsia" w:cs="Times New Roman"/>
          <w:szCs w:val="24"/>
        </w:rPr>
      </w:pPr>
    </w:p>
    <w:p w:rsidR="00566EBB" w:rsidRDefault="00566EBB" w:rsidP="00566EBB">
      <w:pPr>
        <w:spacing w:before="0" w:after="0"/>
        <w:jc w:val="both"/>
        <w:rPr>
          <w:rFonts w:eastAsiaTheme="minorEastAsia" w:cs="Times New Roman"/>
          <w:szCs w:val="24"/>
        </w:rPr>
      </w:pPr>
      <w:r>
        <w:rPr>
          <w:rFonts w:eastAsiaTheme="minorEastAsia" w:cs="Times New Roman"/>
          <w:szCs w:val="24"/>
        </w:rPr>
        <w:t xml:space="preserve">We measured in addition the serum levels of TNF-α, a major key player in chronic inflammation. </w:t>
      </w:r>
      <w:r w:rsidRPr="004245CD">
        <w:rPr>
          <w:rFonts w:eastAsia="Times New Roman" w:cs="Times New Roman"/>
          <w:szCs w:val="24"/>
        </w:rPr>
        <w:t>The measurements were performed with Human TNF alpha ELI</w:t>
      </w:r>
      <w:bookmarkStart w:id="1" w:name="_GoBack"/>
      <w:bookmarkEnd w:id="1"/>
      <w:r w:rsidRPr="004245CD">
        <w:rPr>
          <w:rFonts w:eastAsia="Times New Roman" w:cs="Times New Roman"/>
          <w:szCs w:val="24"/>
        </w:rPr>
        <w:t>SA Ready-SET-Go</w:t>
      </w:r>
      <w:proofErr w:type="gramStart"/>
      <w:r w:rsidRPr="004245CD">
        <w:rPr>
          <w:rFonts w:eastAsia="Times New Roman" w:cs="Times New Roman"/>
          <w:szCs w:val="24"/>
        </w:rPr>
        <w:t>!®</w:t>
      </w:r>
      <w:proofErr w:type="gramEnd"/>
      <w:r w:rsidRPr="004245CD">
        <w:rPr>
          <w:rFonts w:eastAsia="Times New Roman" w:cs="Times New Roman"/>
          <w:szCs w:val="24"/>
        </w:rPr>
        <w:t xml:space="preserve"> from </w:t>
      </w:r>
      <w:proofErr w:type="spellStart"/>
      <w:r w:rsidRPr="004245CD">
        <w:rPr>
          <w:rFonts w:eastAsia="Times New Roman" w:cs="Times New Roman"/>
          <w:szCs w:val="24"/>
        </w:rPr>
        <w:t>eBioscience</w:t>
      </w:r>
      <w:proofErr w:type="spellEnd"/>
      <w:r w:rsidRPr="004245CD">
        <w:rPr>
          <w:rFonts w:eastAsia="Times New Roman" w:cs="Times New Roman"/>
          <w:szCs w:val="24"/>
        </w:rPr>
        <w:t xml:space="preserve"> (Frankfurt/Main, Germany) according to manufacturer’s instructions.</w:t>
      </w:r>
      <w:r>
        <w:rPr>
          <w:szCs w:val="24"/>
        </w:rPr>
        <w:t xml:space="preserve"> </w:t>
      </w:r>
      <w:r>
        <w:rPr>
          <w:rFonts w:eastAsiaTheme="minorEastAsia" w:cs="Times New Roman"/>
          <w:szCs w:val="24"/>
        </w:rPr>
        <w:t xml:space="preserve">We did not detect significant changes comparing the TNF-α amount before and after radon spa treatment (Fig. S5). </w:t>
      </w:r>
    </w:p>
    <w:p w:rsidR="00566EBB" w:rsidRDefault="00566EBB" w:rsidP="00566EBB">
      <w:pPr>
        <w:spacing w:before="0" w:after="0"/>
        <w:jc w:val="both"/>
        <w:rPr>
          <w:rFonts w:eastAsiaTheme="minorEastAsia" w:cs="Times New Roman"/>
          <w:szCs w:val="24"/>
        </w:rPr>
      </w:pPr>
    </w:p>
    <w:p w:rsidR="00566EBB" w:rsidRPr="004F001B" w:rsidRDefault="00566EBB" w:rsidP="00566EBB">
      <w:pPr>
        <w:spacing w:before="0" w:after="0"/>
        <w:rPr>
          <w:rFonts w:eastAsiaTheme="minorEastAsia" w:cs="Times New Roman"/>
          <w:b/>
          <w:szCs w:val="24"/>
        </w:rPr>
      </w:pPr>
      <w:r w:rsidRPr="004F001B">
        <w:rPr>
          <w:rFonts w:eastAsiaTheme="minorEastAsia" w:cs="Times New Roman"/>
          <w:b/>
          <w:szCs w:val="24"/>
        </w:rPr>
        <w:t>Figure S5</w:t>
      </w:r>
    </w:p>
    <w:p w:rsidR="00566EBB" w:rsidRPr="005D014A" w:rsidRDefault="00566EBB" w:rsidP="00566EBB">
      <w:pPr>
        <w:spacing w:before="0" w:after="0"/>
        <w:rPr>
          <w:rFonts w:cs="Times New Roman"/>
          <w:szCs w:val="24"/>
        </w:rPr>
      </w:pPr>
      <w:r>
        <w:object w:dxaOrig="6422" w:dyaOrig="5076">
          <v:shape id="_x0000_i1029" type="#_x0000_t75" style="width:231pt;height:183pt" o:ole="">
            <v:imagedata r:id="rId17" o:title=""/>
          </v:shape>
          <o:OLEObject Type="Embed" ProgID="Prism6.Document" ShapeID="_x0000_i1029" DrawAspect="Content" ObjectID="_1543327741" r:id="rId18"/>
        </w:object>
      </w:r>
    </w:p>
    <w:p w:rsidR="00566EBB" w:rsidRDefault="00566EBB" w:rsidP="00566EBB">
      <w:pPr>
        <w:spacing w:before="0" w:after="0"/>
        <w:jc w:val="both"/>
        <w:rPr>
          <w:rFonts w:eastAsia="Times New Roman" w:cs="Times New Roman"/>
          <w:color w:val="000000" w:themeColor="text1"/>
          <w:szCs w:val="24"/>
        </w:rPr>
      </w:pPr>
      <w:bookmarkStart w:id="2" w:name="OLE_LINK2"/>
      <w:r>
        <w:rPr>
          <w:rFonts w:eastAsiaTheme="minorEastAsia" w:cs="Times New Roman"/>
          <w:szCs w:val="24"/>
        </w:rPr>
        <w:t>Figure S5</w:t>
      </w:r>
      <w:r w:rsidRPr="005D014A">
        <w:rPr>
          <w:rFonts w:eastAsiaTheme="minorEastAsia" w:cs="Times New Roman"/>
          <w:szCs w:val="24"/>
        </w:rPr>
        <w:t xml:space="preserve">: </w:t>
      </w:r>
      <w:r w:rsidRPr="005D014A">
        <w:rPr>
          <w:rFonts w:eastAsia="Times New Roman" w:cs="Times New Roman"/>
          <w:color w:val="000000" w:themeColor="text1"/>
          <w:szCs w:val="24"/>
        </w:rPr>
        <w:t xml:space="preserve">Effect of radon spa treatment on TNFα levels in the serum of patients with MSDs, measured at indicated times before (0 weeks) </w:t>
      </w:r>
      <w:r>
        <w:rPr>
          <w:rFonts w:eastAsia="Times New Roman" w:cs="Times New Roman"/>
          <w:color w:val="000000" w:themeColor="text1"/>
          <w:szCs w:val="24"/>
        </w:rPr>
        <w:t>and after the onset of the therapy (6-30 weeks)</w:t>
      </w:r>
      <w:bookmarkEnd w:id="2"/>
      <w:r>
        <w:rPr>
          <w:rFonts w:eastAsia="Times New Roman" w:cs="Times New Roman"/>
          <w:color w:val="000000" w:themeColor="text1"/>
          <w:szCs w:val="24"/>
        </w:rPr>
        <w:t>. Boxplots show the median, Tukey whiskers (</w:t>
      </w:r>
      <w:r w:rsidRPr="005D014A">
        <w:rPr>
          <w:rFonts w:cs="Times New Roman"/>
          <w:szCs w:val="24"/>
        </w:rPr>
        <w:t xml:space="preserve">median ± 1.5 times interquartile range), mean (+) and outliers (•). </w:t>
      </w:r>
      <w:r w:rsidRPr="005D014A">
        <w:rPr>
          <w:rFonts w:eastAsia="Times New Roman" w:cs="Times New Roman"/>
          <w:color w:val="000000" w:themeColor="text1"/>
          <w:szCs w:val="24"/>
        </w:rPr>
        <w:t>N=12</w:t>
      </w:r>
    </w:p>
    <w:p w:rsidR="00566EBB" w:rsidRDefault="00566EBB" w:rsidP="00566EBB">
      <w:pPr>
        <w:spacing w:before="0" w:after="0"/>
        <w:jc w:val="both"/>
        <w:rPr>
          <w:rFonts w:cs="Times New Roman"/>
          <w:szCs w:val="24"/>
        </w:rPr>
      </w:pPr>
    </w:p>
    <w:p w:rsidR="00566EBB" w:rsidRDefault="00566EBB" w:rsidP="00566EBB">
      <w:pPr>
        <w:spacing w:before="0" w:after="0"/>
        <w:rPr>
          <w:rFonts w:cs="Times New Roman"/>
          <w:szCs w:val="24"/>
        </w:rPr>
      </w:pPr>
      <w:r>
        <w:rPr>
          <w:rFonts w:cs="Times New Roman"/>
          <w:szCs w:val="24"/>
        </w:rPr>
        <w:br w:type="page"/>
      </w:r>
    </w:p>
    <w:p w:rsidR="00566EBB" w:rsidRDefault="00566EBB" w:rsidP="00566EBB">
      <w:pPr>
        <w:spacing w:before="0" w:after="0"/>
        <w:jc w:val="both"/>
        <w:rPr>
          <w:rFonts w:cs="Times New Roman"/>
          <w:szCs w:val="24"/>
        </w:rPr>
      </w:pPr>
      <w:r w:rsidRPr="00C92170">
        <w:rPr>
          <w:rFonts w:cs="Times New Roman"/>
          <w:szCs w:val="24"/>
        </w:rPr>
        <w:lastRenderedPageBreak/>
        <w:t>Values obtained for all measured factors</w:t>
      </w:r>
      <w:r>
        <w:rPr>
          <w:rFonts w:cs="Times New Roman"/>
          <w:szCs w:val="24"/>
        </w:rPr>
        <w:t xml:space="preserve"> as presented in Fig 2A, 3B and Fig. S1, S2, S3, S5 </w:t>
      </w:r>
      <w:r w:rsidRPr="00C92170">
        <w:rPr>
          <w:rFonts w:cs="Times New Roman"/>
          <w:szCs w:val="24"/>
        </w:rPr>
        <w:t>are summarized in table 1</w:t>
      </w:r>
    </w:p>
    <w:p w:rsidR="00566EBB" w:rsidRDefault="00566EBB" w:rsidP="00566EBB">
      <w:pPr>
        <w:spacing w:before="0" w:after="0"/>
        <w:jc w:val="both"/>
        <w:rPr>
          <w:rFonts w:eastAsia="Times New Roman" w:cs="Times New Roman"/>
          <w:szCs w:val="24"/>
        </w:rPr>
      </w:pPr>
    </w:p>
    <w:p w:rsidR="00566EBB" w:rsidRDefault="00566EBB" w:rsidP="00566EBB">
      <w:pPr>
        <w:spacing w:before="0" w:after="0"/>
        <w:jc w:val="both"/>
        <w:rPr>
          <w:rFonts w:eastAsia="Times New Roman" w:cs="Times New Roman"/>
          <w:szCs w:val="24"/>
        </w:rPr>
      </w:pPr>
      <w:r w:rsidRPr="005D014A">
        <w:rPr>
          <w:rFonts w:eastAsia="Times New Roman" w:cs="Times New Roman"/>
          <w:szCs w:val="24"/>
        </w:rPr>
        <w:t xml:space="preserve">Table 1: Serum concentrations of factors </w:t>
      </w:r>
      <w:r>
        <w:rPr>
          <w:rFonts w:eastAsia="Times New Roman" w:cs="Times New Roman"/>
          <w:szCs w:val="24"/>
        </w:rPr>
        <w:t xml:space="preserve">related to bone metabolism </w:t>
      </w:r>
      <w:r w:rsidRPr="005D014A">
        <w:rPr>
          <w:rFonts w:eastAsia="Times New Roman" w:cs="Times New Roman"/>
          <w:szCs w:val="24"/>
        </w:rPr>
        <w:t xml:space="preserve">and </w:t>
      </w:r>
      <w:proofErr w:type="spellStart"/>
      <w:r w:rsidRPr="005D014A">
        <w:rPr>
          <w:rFonts w:eastAsia="Times New Roman" w:cs="Times New Roman"/>
          <w:szCs w:val="24"/>
        </w:rPr>
        <w:t>adipokines</w:t>
      </w:r>
      <w:proofErr w:type="spellEnd"/>
      <w:r w:rsidRPr="005D014A">
        <w:rPr>
          <w:rFonts w:eastAsia="Times New Roman" w:cs="Times New Roman"/>
          <w:szCs w:val="24"/>
        </w:rPr>
        <w:t xml:space="preserve"> in MSD patients during </w:t>
      </w:r>
      <w:r>
        <w:rPr>
          <w:rFonts w:eastAsia="Times New Roman" w:cs="Times New Roman"/>
          <w:szCs w:val="24"/>
        </w:rPr>
        <w:t xml:space="preserve">and after </w:t>
      </w:r>
      <w:r w:rsidRPr="005D014A">
        <w:rPr>
          <w:rFonts w:eastAsia="Times New Roman" w:cs="Times New Roman"/>
          <w:szCs w:val="24"/>
        </w:rPr>
        <w:t>radon spa treatment</w:t>
      </w:r>
      <w:r>
        <w:rPr>
          <w:rFonts w:eastAsia="Times New Roman" w:cs="Times New Roman"/>
          <w:szCs w:val="24"/>
        </w:rPr>
        <w:t xml:space="preserve"> (before, 0 weeks and after the onset of the treatment, up to 30 weeks). Shown are the mean values within the range of the lowest and highest value and the number of analyzed patients</w:t>
      </w:r>
      <w:r w:rsidRPr="005D014A">
        <w:rPr>
          <w:rFonts w:eastAsia="Times New Roman" w:cs="Times New Roman"/>
          <w:szCs w:val="24"/>
        </w:rPr>
        <w:t>.</w:t>
      </w:r>
    </w:p>
    <w:p w:rsidR="00566EBB" w:rsidRPr="005D014A" w:rsidRDefault="005262D8" w:rsidP="00566EBB">
      <w:pPr>
        <w:spacing w:before="0" w:after="0"/>
        <w:jc w:val="both"/>
        <w:rPr>
          <w:rFonts w:eastAsia="Times New Roman" w:cs="Times New Roman"/>
          <w:szCs w:val="24"/>
        </w:rPr>
      </w:pPr>
      <w:r w:rsidRPr="005262D8">
        <w:rPr>
          <w:noProof/>
          <w:lang w:val="de-DE" w:eastAsia="de-DE"/>
        </w:rPr>
        <w:drawing>
          <wp:inline distT="0" distB="0" distL="0" distR="0" wp14:anchorId="44A2BEBF" wp14:editId="327C82AC">
            <wp:extent cx="6208395" cy="550110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8395" cy="5501109"/>
                    </a:xfrm>
                    <a:prstGeom prst="rect">
                      <a:avLst/>
                    </a:prstGeom>
                    <a:noFill/>
                    <a:ln>
                      <a:noFill/>
                    </a:ln>
                  </pic:spPr>
                </pic:pic>
              </a:graphicData>
            </a:graphic>
          </wp:inline>
        </w:drawing>
      </w:r>
    </w:p>
    <w:p w:rsidR="00566EBB" w:rsidRPr="0026712C" w:rsidRDefault="00566EBB" w:rsidP="00566EBB">
      <w:pPr>
        <w:spacing w:before="0" w:after="0"/>
        <w:jc w:val="both"/>
        <w:rPr>
          <w:rFonts w:eastAsia="Times New Roman" w:cs="Times New Roman"/>
          <w:color w:val="000000" w:themeColor="text1"/>
          <w:szCs w:val="24"/>
        </w:rPr>
      </w:pPr>
    </w:p>
    <w:p w:rsidR="00566EBB" w:rsidRDefault="00566EBB">
      <w:pPr>
        <w:spacing w:before="0" w:after="200" w:line="276" w:lineRule="auto"/>
        <w:rPr>
          <w:rFonts w:cs="Times New Roman"/>
          <w:szCs w:val="24"/>
        </w:rPr>
      </w:pPr>
      <w:r>
        <w:rPr>
          <w:rFonts w:cs="Times New Roman"/>
          <w:szCs w:val="24"/>
        </w:rPr>
        <w:br w:type="page"/>
      </w:r>
    </w:p>
    <w:p w:rsidR="00566EBB" w:rsidRDefault="00566EBB" w:rsidP="00566EBB">
      <w:pPr>
        <w:spacing w:before="0" w:after="0"/>
        <w:jc w:val="both"/>
        <w:rPr>
          <w:rFonts w:cs="Times New Roman"/>
          <w:b/>
          <w:szCs w:val="24"/>
          <w:lang w:val="de-DE"/>
        </w:rPr>
      </w:pPr>
      <w:r w:rsidRPr="004F001B">
        <w:rPr>
          <w:rFonts w:cs="Times New Roman"/>
          <w:b/>
          <w:szCs w:val="24"/>
          <w:lang w:val="de-DE"/>
        </w:rPr>
        <w:lastRenderedPageBreak/>
        <w:t>References</w:t>
      </w:r>
    </w:p>
    <w:p w:rsidR="00483F8C" w:rsidRPr="004F001B" w:rsidRDefault="00483F8C" w:rsidP="00566EBB">
      <w:pPr>
        <w:spacing w:before="0" w:after="0"/>
        <w:jc w:val="both"/>
        <w:rPr>
          <w:rFonts w:cs="Times New Roman"/>
          <w:b/>
          <w:szCs w:val="24"/>
          <w:lang w:val="de-DE"/>
        </w:rPr>
      </w:pPr>
    </w:p>
    <w:p w:rsidR="004F001B" w:rsidRPr="004F001B" w:rsidRDefault="00456FC4" w:rsidP="00246C51">
      <w:pPr>
        <w:pStyle w:val="Literaturverzeichnis"/>
        <w:spacing w:before="0" w:after="0"/>
        <w:jc w:val="both"/>
        <w:rPr>
          <w:rFonts w:cs="Times New Roman"/>
        </w:rPr>
      </w:pPr>
      <w:r>
        <w:fldChar w:fldCharType="begin"/>
      </w:r>
      <w:r w:rsidR="004F001B" w:rsidRPr="001F77FA">
        <w:rPr>
          <w:lang w:val="de-DE"/>
        </w:rPr>
        <w:instrText xml:space="preserve"> ADDIN ZOTERO_BIBL {"custom":[]} CSL_BIBLIOGRAPHY </w:instrText>
      </w:r>
      <w:r>
        <w:fldChar w:fldCharType="separate"/>
      </w:r>
      <w:r w:rsidR="004F001B" w:rsidRPr="001F77FA">
        <w:rPr>
          <w:rFonts w:cs="Times New Roman"/>
          <w:lang w:val="de-DE"/>
        </w:rPr>
        <w:t xml:space="preserve">1. </w:t>
      </w:r>
      <w:r w:rsidR="004F001B" w:rsidRPr="001F77FA">
        <w:rPr>
          <w:rFonts w:cs="Times New Roman"/>
          <w:lang w:val="de-DE"/>
        </w:rPr>
        <w:tab/>
        <w:t xml:space="preserve">Hofbauer LC, Heufelder AE. </w:t>
      </w:r>
      <w:r w:rsidR="004F001B" w:rsidRPr="004F001B">
        <w:rPr>
          <w:rFonts w:cs="Times New Roman"/>
        </w:rPr>
        <w:t xml:space="preserve">The role of </w:t>
      </w:r>
      <w:proofErr w:type="spellStart"/>
      <w:r w:rsidR="004F001B" w:rsidRPr="004F001B">
        <w:rPr>
          <w:rFonts w:cs="Times New Roman"/>
        </w:rPr>
        <w:t>osteoprotegerin</w:t>
      </w:r>
      <w:proofErr w:type="spellEnd"/>
      <w:r w:rsidR="004F001B" w:rsidRPr="004F001B">
        <w:rPr>
          <w:rFonts w:cs="Times New Roman"/>
        </w:rPr>
        <w:t xml:space="preserve"> and receptor activator of nuclear factor kappaB ligand in the pathogenesis and treatment of rheumatoid arthritis. Arthritis Rheum. 2001 Feb;44(2):253–9. </w:t>
      </w:r>
    </w:p>
    <w:p w:rsidR="004F001B" w:rsidRPr="004F001B" w:rsidRDefault="004F001B" w:rsidP="00246C51">
      <w:pPr>
        <w:pStyle w:val="Literaturverzeichnis"/>
        <w:spacing w:before="0" w:after="0"/>
        <w:jc w:val="both"/>
        <w:rPr>
          <w:rFonts w:cs="Times New Roman"/>
        </w:rPr>
      </w:pPr>
      <w:r w:rsidRPr="004F001B">
        <w:rPr>
          <w:rFonts w:cs="Times New Roman"/>
        </w:rPr>
        <w:t xml:space="preserve">2. </w:t>
      </w:r>
      <w:r w:rsidRPr="004F001B">
        <w:rPr>
          <w:rFonts w:cs="Times New Roman"/>
        </w:rPr>
        <w:tab/>
        <w:t xml:space="preserve">Patti A, Gennari L, Merlotti D, Dotta F, Nuti R. Endocrine actions of osteocalcin. Int J Endocrinol. 2013;2013:846480. </w:t>
      </w:r>
    </w:p>
    <w:p w:rsidR="004F001B" w:rsidRPr="004F001B" w:rsidRDefault="004F001B" w:rsidP="00246C51">
      <w:pPr>
        <w:pStyle w:val="Literaturverzeichnis"/>
        <w:spacing w:before="0" w:after="0"/>
        <w:jc w:val="both"/>
        <w:rPr>
          <w:rFonts w:cs="Times New Roman"/>
        </w:rPr>
      </w:pPr>
      <w:r w:rsidRPr="004F001B">
        <w:rPr>
          <w:rFonts w:cs="Times New Roman"/>
        </w:rPr>
        <w:t xml:space="preserve">3. </w:t>
      </w:r>
      <w:r w:rsidRPr="004F001B">
        <w:rPr>
          <w:rFonts w:cs="Times New Roman"/>
        </w:rPr>
        <w:tab/>
        <w:t xml:space="preserve">Hauschka PV, Wians FH. Osteocalcin-hydroxyapatite interaction in the extracellular organic matrix of bone. Anat Rec. 1989 Jun;224(2):180–8. </w:t>
      </w:r>
    </w:p>
    <w:p w:rsidR="004F001B" w:rsidRPr="004F001B" w:rsidRDefault="004F001B" w:rsidP="00246C51">
      <w:pPr>
        <w:pStyle w:val="Literaturverzeichnis"/>
        <w:spacing w:before="0" w:after="0"/>
        <w:jc w:val="both"/>
        <w:rPr>
          <w:rFonts w:cs="Times New Roman"/>
        </w:rPr>
      </w:pPr>
      <w:r w:rsidRPr="004F001B">
        <w:rPr>
          <w:rFonts w:cs="Times New Roman"/>
        </w:rPr>
        <w:t xml:space="preserve">4. </w:t>
      </w:r>
      <w:r w:rsidRPr="004F001B">
        <w:rPr>
          <w:rFonts w:cs="Times New Roman"/>
        </w:rPr>
        <w:tab/>
        <w:t xml:space="preserve">Baht GS, Hunter GK, Goldberg HA. Bone sialoprotein-collagen interaction promotes hydroxyapatite nucleation. Matrix Biol J Int Soc Matrix Biol. 2008 Sep;27(7):600–8. </w:t>
      </w:r>
    </w:p>
    <w:p w:rsidR="004F001B" w:rsidRPr="004F001B" w:rsidRDefault="004F001B" w:rsidP="00246C51">
      <w:pPr>
        <w:pStyle w:val="Literaturverzeichnis"/>
        <w:spacing w:before="0" w:after="0"/>
        <w:jc w:val="both"/>
        <w:rPr>
          <w:rFonts w:cs="Times New Roman"/>
        </w:rPr>
      </w:pPr>
      <w:r w:rsidRPr="004F001B">
        <w:rPr>
          <w:rFonts w:cs="Times New Roman"/>
        </w:rPr>
        <w:t xml:space="preserve">5. </w:t>
      </w:r>
      <w:r w:rsidRPr="004F001B">
        <w:rPr>
          <w:rFonts w:cs="Times New Roman"/>
        </w:rPr>
        <w:tab/>
        <w:t xml:space="preserve">Granholm S, Lundberg P, Lerner UH. Calcitonin inhibits osteoclast formation in mouse haematopoetic cells independently of transcriptional regulation by receptor activator of NF-{kappa}B and c-Fms. J Endocrinol. 2007 Dec;195(3):415–27. </w:t>
      </w:r>
    </w:p>
    <w:p w:rsidR="004F001B" w:rsidRPr="004F001B" w:rsidRDefault="004F001B" w:rsidP="00246C51">
      <w:pPr>
        <w:pStyle w:val="Literaturverzeichnis"/>
        <w:spacing w:before="0" w:after="0"/>
        <w:jc w:val="both"/>
        <w:rPr>
          <w:rFonts w:cs="Times New Roman"/>
        </w:rPr>
      </w:pPr>
      <w:r w:rsidRPr="004F001B">
        <w:rPr>
          <w:rFonts w:cs="Times New Roman"/>
        </w:rPr>
        <w:t xml:space="preserve">6. </w:t>
      </w:r>
      <w:r w:rsidRPr="004F001B">
        <w:rPr>
          <w:rFonts w:cs="Times New Roman"/>
        </w:rPr>
        <w:tab/>
        <w:t xml:space="preserve">Keller J, Catala-Lehnen P, Huebner AK, Jeschke A, Heckt T, Lueth A, et al. Calcitonin controls bone formation by inhibiting the release of sphingosine 1-phosphate from osteoclasts. Nat Commun. 2014;5:5215. </w:t>
      </w:r>
    </w:p>
    <w:p w:rsidR="00566EBB" w:rsidRPr="00566EBB" w:rsidRDefault="00456FC4" w:rsidP="00246C51">
      <w:pPr>
        <w:spacing w:before="0" w:after="0"/>
        <w:jc w:val="both"/>
        <w:rPr>
          <w:rFonts w:cs="Times New Roman"/>
          <w:szCs w:val="24"/>
        </w:rPr>
      </w:pPr>
      <w:r>
        <w:rPr>
          <w:rFonts w:cs="Times New Roman"/>
          <w:szCs w:val="24"/>
        </w:rPr>
        <w:fldChar w:fldCharType="end"/>
      </w:r>
    </w:p>
    <w:sectPr w:rsidR="00566EBB" w:rsidRPr="00566EBB"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2D14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B94" w:rsidRDefault="00485B94" w:rsidP="00117666">
      <w:pPr>
        <w:spacing w:after="0"/>
      </w:pPr>
      <w:r>
        <w:separator/>
      </w:r>
    </w:p>
  </w:endnote>
  <w:endnote w:type="continuationSeparator" w:id="0">
    <w:p w:rsidR="00485B94" w:rsidRDefault="00485B9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485B94">
    <w:pPr>
      <w:rPr>
        <w:color w:val="C00000"/>
        <w:szCs w:val="24"/>
      </w:rPr>
    </w:pPr>
    <w:r>
      <w:rPr>
        <w:noProof/>
        <w:lang w:val="de-DE" w:eastAsia="de-DE"/>
      </w:rPr>
      <w:pict>
        <v:shapetype id="_x0000_t202" coordsize="21600,21600" o:spt="202" path="m,l,21600r21600,l21600,xe">
          <v:stroke joinstyle="miter"/>
          <v:path gradientshapeok="t" o:connecttype="rect"/>
        </v:shapetype>
        <v:shape id="Text Box 1" o:spid="_x0000_s2050" type="#_x0000_t202" style="position:absolute;margin-left:281.6pt;margin-top:0;width:118.8pt;height:39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" filled="f" stroked="f" strokeweight=".5pt">
          <v:path arrowok="t"/>
          <v:textbox style="mso-fit-shape-to-text:t">
            <w:txbxContent>
              <w:p w:rsidR="00995F6A" w:rsidRPr="00577C4C" w:rsidRDefault="00456FC4">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692B02">
                  <w:rPr>
                    <w:noProof/>
                    <w:color w:val="000000" w:themeColor="text1"/>
                    <w:szCs w:val="40"/>
                  </w:rPr>
                  <w:t>6</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485B94">
    <w:pPr>
      <w:rPr>
        <w:b/>
        <w:sz w:val="20"/>
        <w:szCs w:val="24"/>
      </w:rPr>
    </w:pPr>
    <w:r>
      <w:rPr>
        <w:noProof/>
        <w:lang w:val="de-DE" w:eastAsia="de-DE"/>
      </w:rPr>
      <w:pict>
        <v:shapetype id="_x0000_t202" coordsize="21600,21600" o:spt="202" path="m,l,21600r21600,l21600,xe">
          <v:stroke joinstyle="miter"/>
          <v:path gradientshapeok="t" o:connecttype="rect"/>
        </v:shapetype>
        <v:shape id="Text Box 56" o:spid="_x0000_s2049" type="#_x0000_t202" style="position:absolute;margin-left:281.6pt;margin-top:0;width:118.8pt;height:39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Kw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" filled="f" stroked="f" strokeweight=".5pt">
          <v:path arrowok="t"/>
          <v:textbox style="mso-fit-shape-to-text:t">
            <w:txbxContent>
              <w:p w:rsidR="00995F6A" w:rsidRPr="00577C4C" w:rsidRDefault="00456FC4">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692B02">
                  <w:rPr>
                    <w:noProof/>
                    <w:color w:val="000000" w:themeColor="text1"/>
                    <w:szCs w:val="40"/>
                  </w:rPr>
                  <w:t>7</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B94" w:rsidRDefault="00485B94" w:rsidP="00117666">
      <w:pPr>
        <w:spacing w:after="0"/>
      </w:pPr>
      <w:r>
        <w:separator/>
      </w:r>
    </w:p>
  </w:footnote>
  <w:footnote w:type="continuationSeparator" w:id="0">
    <w:p w:rsidR="00485B94" w:rsidRDefault="00485B94"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Default="0093429D" w:rsidP="0093429D">
    <w:r w:rsidRPr="005A1D84">
      <w:rPr>
        <w:b/>
        <w:noProof/>
        <w:color w:val="A6A6A6" w:themeColor="background1" w:themeShade="A6"/>
        <w:lang w:val="de-DE" w:eastAsia="de-DE"/>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13FB0"/>
    <w:rsid w:val="0001436A"/>
    <w:rsid w:val="00034304"/>
    <w:rsid w:val="00035434"/>
    <w:rsid w:val="00052A14"/>
    <w:rsid w:val="00077D53"/>
    <w:rsid w:val="00105FD9"/>
    <w:rsid w:val="00117666"/>
    <w:rsid w:val="001549D3"/>
    <w:rsid w:val="00160065"/>
    <w:rsid w:val="00177D84"/>
    <w:rsid w:val="001E3383"/>
    <w:rsid w:val="001F77FA"/>
    <w:rsid w:val="00246C51"/>
    <w:rsid w:val="00267D18"/>
    <w:rsid w:val="002868E2"/>
    <w:rsid w:val="002869C3"/>
    <w:rsid w:val="002936E4"/>
    <w:rsid w:val="002B4A57"/>
    <w:rsid w:val="002C74CA"/>
    <w:rsid w:val="003544FB"/>
    <w:rsid w:val="00377A66"/>
    <w:rsid w:val="003D2F2D"/>
    <w:rsid w:val="00401590"/>
    <w:rsid w:val="004214CD"/>
    <w:rsid w:val="00447801"/>
    <w:rsid w:val="00452E9C"/>
    <w:rsid w:val="00456FC4"/>
    <w:rsid w:val="004735C8"/>
    <w:rsid w:val="00483F8C"/>
    <w:rsid w:val="00485B94"/>
    <w:rsid w:val="004961FF"/>
    <w:rsid w:val="004F001B"/>
    <w:rsid w:val="00517A89"/>
    <w:rsid w:val="005250F2"/>
    <w:rsid w:val="005262D8"/>
    <w:rsid w:val="00566EBB"/>
    <w:rsid w:val="00593EEA"/>
    <w:rsid w:val="005A5EEE"/>
    <w:rsid w:val="006375C7"/>
    <w:rsid w:val="00654E8F"/>
    <w:rsid w:val="00660D05"/>
    <w:rsid w:val="006820B1"/>
    <w:rsid w:val="00692B02"/>
    <w:rsid w:val="006A0DBC"/>
    <w:rsid w:val="006B7D14"/>
    <w:rsid w:val="00701727"/>
    <w:rsid w:val="0070566C"/>
    <w:rsid w:val="00714C50"/>
    <w:rsid w:val="00725A7D"/>
    <w:rsid w:val="007501BE"/>
    <w:rsid w:val="00790BB3"/>
    <w:rsid w:val="007C206C"/>
    <w:rsid w:val="00817DD6"/>
    <w:rsid w:val="00885156"/>
    <w:rsid w:val="00905B9F"/>
    <w:rsid w:val="009151AA"/>
    <w:rsid w:val="0093429D"/>
    <w:rsid w:val="00943573"/>
    <w:rsid w:val="00970F7D"/>
    <w:rsid w:val="00994A3D"/>
    <w:rsid w:val="009C2B12"/>
    <w:rsid w:val="00A174D9"/>
    <w:rsid w:val="00AB6715"/>
    <w:rsid w:val="00B13FB0"/>
    <w:rsid w:val="00B1671E"/>
    <w:rsid w:val="00B25EB8"/>
    <w:rsid w:val="00B37F4D"/>
    <w:rsid w:val="00C15C16"/>
    <w:rsid w:val="00C52A7B"/>
    <w:rsid w:val="00C56BAF"/>
    <w:rsid w:val="00C679AA"/>
    <w:rsid w:val="00C75972"/>
    <w:rsid w:val="00CD066B"/>
    <w:rsid w:val="00CE4FEE"/>
    <w:rsid w:val="00CE6EAD"/>
    <w:rsid w:val="00DB59C3"/>
    <w:rsid w:val="00DC259A"/>
    <w:rsid w:val="00DE23E8"/>
    <w:rsid w:val="00E231CF"/>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customStyle="1" w:styleId="normaltextrun">
    <w:name w:val="normaltextrun"/>
    <w:basedOn w:val="Absatz-Standardschriftart"/>
    <w:rsid w:val="00566EBB"/>
  </w:style>
  <w:style w:type="paragraph" w:styleId="Literaturverzeichnis">
    <w:name w:val="Bibliography"/>
    <w:basedOn w:val="Standard"/>
    <w:next w:val="Standard"/>
    <w:uiPriority w:val="37"/>
    <w:unhideWhenUsed/>
    <w:rsid w:val="004F001B"/>
    <w:pPr>
      <w:tabs>
        <w:tab w:val="left" w:pos="384"/>
      </w:tabs>
      <w:ind w:left="384" w:hanging="3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berschrift1Zchn">
    <w:name w:val="Headings"/>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7309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AppData\Local\Temp\Temp1_Frontiers_Supplementary_Material.zip\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5350D933D1F0B94BBAB0BD440E363FC8" ma:contentTypeVersion="7" ma:contentTypeDescription="Create a new document." ma:contentTypeScope="" ma:versionID="9b91d12c69b0b06fb5fc5553a5ae3899">
  <xsd:schema xmlns:xsd="http://www.w3.org/2001/XMLSchema" xmlns:p="http://schemas.microsoft.com/office/2006/metadata/properties" xmlns:ns2="d3c69c58-74ff-44a8-9788-42871589f19e" targetNamespace="http://schemas.microsoft.com/office/2006/metadata/properties" ma:root="true" ma:fieldsID="019318177470c37874020093bc95e111" ns2:_="">
    <xsd:import namespace="d3c69c58-74ff-44a8-9788-42871589f19e"/>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d3c69c58-74ff-44a8-9788-42871589f19e"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tageName xmlns="d3c69c58-74ff-44a8-9788-42871589f19e" xsi:nil="true"/>
    <DocumentId xmlns="d3c69c58-74ff-44a8-9788-42871589f19e">Data Sheet 1.DOCX</DocumentId>
    <DocumentType xmlns="d3c69c58-74ff-44a8-9788-42871589f19e">Data Sheet</DocumentType>
    <FileFormat xmlns="d3c69c58-74ff-44a8-9788-42871589f19e">DOCX</FileFormat>
    <Checked_x0020_Out_x0020_To xmlns="d3c69c58-74ff-44a8-9788-42871589f19e">
      <UserInfo>
        <DisplayName/>
        <AccountId xsi:nil="true"/>
        <AccountType/>
      </UserInfo>
    </Checked_x0020_Out_x0020_To>
    <TitleName xmlns="d3c69c58-74ff-44a8-9788-42871589f19e">Data Sheet 1.DOCX</TitleName>
    <IsDeleted xmlns="d3c69c58-74ff-44a8-9788-42871589f19e">false</IsDeleted>
  </documentManagement>
</p:properties>
</file>

<file path=customXml/itemProps1.xml><?xml version="1.0" encoding="utf-8"?>
<ds:datastoreItem xmlns:ds="http://schemas.openxmlformats.org/officeDocument/2006/customXml" ds:itemID="{32F2ECBD-43DF-436F-8DB1-472844134F7D}"/>
</file>

<file path=customXml/itemProps2.xml><?xml version="1.0" encoding="utf-8"?>
<ds:datastoreItem xmlns:ds="http://schemas.openxmlformats.org/officeDocument/2006/customXml" ds:itemID="{2F16A32A-3515-4A0D-95E0-A51782F0695E}"/>
</file>

<file path=customXml/itemProps3.xml><?xml version="1.0" encoding="utf-8"?>
<ds:datastoreItem xmlns:ds="http://schemas.openxmlformats.org/officeDocument/2006/customXml" ds:itemID="{2A270F21-F73D-4A67-AD01-29BE3CBB405D}"/>
</file>

<file path=customXml/itemProps4.xml><?xml version="1.0" encoding="utf-8"?>
<ds:datastoreItem xmlns:ds="http://schemas.openxmlformats.org/officeDocument/2006/customXml" ds:itemID="{E64FBE03-E87C-4B97-92AA-023AB66851E7}"/>
</file>

<file path=docProps/app.xml><?xml version="1.0" encoding="utf-8"?>
<Properties xmlns="http://schemas.openxmlformats.org/officeDocument/2006/extended-properties" xmlns:vt="http://schemas.openxmlformats.org/officeDocument/2006/docPropsVTypes">
  <Template>Supplementary_Material.dotx</Template>
  <TotalTime>0</TotalTime>
  <Pages>7</Pages>
  <Words>2733</Words>
  <Characters>17221</Characters>
  <Application>Microsoft Office Word</Application>
  <DocSecurity>0</DocSecurity>
  <Lines>143</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Kraft, Daniela</cp:lastModifiedBy>
  <cp:revision>7</cp:revision>
  <cp:lastPrinted>2013-10-03T12:51:00Z</cp:lastPrinted>
  <dcterms:created xsi:type="dcterms:W3CDTF">2016-12-06T17:02:00Z</dcterms:created>
  <dcterms:modified xsi:type="dcterms:W3CDTF">2016-12-15T16:22:00Z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id="XgjbNPy2"/&gt;&lt;style id="http://www.zotero.org/styles/vancouver" locale="en-US" hasBibliography="1" bibliographyStyleHasBeenSet="1"/&gt;&lt;prefs&gt;&lt;pref name="fieldType" value="Field"/&gt;&lt;pref name="store</vt:lpwstr>
  </property>
  <property fmtid="{D5CDD505-2E9C-101B-9397-08002B2CF9AE}" pid="3" name="ZOTERO_PREF_2">
    <vt:lpwstr>References" value="true"/&gt;&lt;pref name="automaticJournalAbbreviations" value="true"/&gt;&lt;pref name="noteType" value=""/&gt;&lt;/prefs&gt;&lt;/data&gt;</vt:lpwstr>
  </property>
</Properties>
</file>