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1" w:rsidRDefault="004E4321" w:rsidP="004E4321">
      <w:pPr>
        <w:pStyle w:val="SupplementaryMaterial"/>
        <w:rPr>
          <w:b w:val="0"/>
        </w:rPr>
      </w:pPr>
      <w:r>
        <w:t>Supplementary Material</w:t>
      </w:r>
    </w:p>
    <w:p w:rsidR="004E4321" w:rsidRPr="00BE6F1B" w:rsidRDefault="004E4321" w:rsidP="004E4321">
      <w:pPr>
        <w:jc w:val="center"/>
        <w:rPr>
          <w:b/>
          <w:sz w:val="32"/>
          <w:szCs w:val="32"/>
        </w:rPr>
      </w:pPr>
      <w:r w:rsidRPr="00BE6F1B">
        <w:rPr>
          <w:b/>
          <w:sz w:val="32"/>
          <w:szCs w:val="32"/>
        </w:rPr>
        <w:t>The influence of C-ions and X-rays on human umbilical vein endothelial cells</w:t>
      </w:r>
    </w:p>
    <w:p w:rsidR="004E4321" w:rsidRDefault="004E4321" w:rsidP="004E4321">
      <w:pPr>
        <w:jc w:val="both"/>
        <w:rPr>
          <w:b/>
          <w:szCs w:val="24"/>
        </w:rPr>
      </w:pPr>
    </w:p>
    <w:p w:rsidR="004E4321" w:rsidRPr="008A1DED" w:rsidRDefault="004E4321" w:rsidP="004E4321">
      <w:pPr>
        <w:jc w:val="both"/>
        <w:rPr>
          <w:b/>
          <w:szCs w:val="24"/>
        </w:rPr>
      </w:pPr>
      <w:r w:rsidRPr="008A1DED">
        <w:rPr>
          <w:b/>
          <w:szCs w:val="24"/>
        </w:rPr>
        <w:t>Alexander Helm</w:t>
      </w:r>
      <w:r w:rsidRPr="008A1DED">
        <w:rPr>
          <w:b/>
          <w:szCs w:val="24"/>
          <w:vertAlign w:val="superscript"/>
        </w:rPr>
        <w:t>*</w:t>
      </w:r>
      <w:r w:rsidRPr="008A1DED">
        <w:rPr>
          <w:b/>
          <w:szCs w:val="24"/>
        </w:rPr>
        <w:t>, Ryonfa Lee, Marco Durante and Sylvia Ritter</w:t>
      </w:r>
    </w:p>
    <w:p w:rsidR="004E4321" w:rsidRDefault="004E4321" w:rsidP="004E4321">
      <w:pPr>
        <w:jc w:val="both"/>
        <w:rPr>
          <w:szCs w:val="24"/>
        </w:rPr>
      </w:pPr>
      <w:r>
        <w:rPr>
          <w:szCs w:val="24"/>
        </w:rPr>
        <w:t>*Corresponding author: a.helm@gsi.de</w:t>
      </w:r>
    </w:p>
    <w:p w:rsidR="004E4321" w:rsidRDefault="004E4321" w:rsidP="004E4321">
      <w:pPr>
        <w:jc w:val="both"/>
        <w:rPr>
          <w:szCs w:val="24"/>
        </w:rPr>
      </w:pPr>
    </w:p>
    <w:p w:rsidR="004E4321" w:rsidRDefault="004E4321">
      <w:pPr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rPr>
          <w:szCs w:val="24"/>
        </w:rPr>
      </w:pPr>
      <w:r>
        <w:rPr>
          <w:noProof/>
          <w:szCs w:val="24"/>
          <w:lang w:val="de-DE" w:eastAsia="de-DE"/>
        </w:rPr>
        <w:drawing>
          <wp:inline distT="0" distB="0" distL="0" distR="0" wp14:anchorId="63C6EEE0" wp14:editId="61C7022E">
            <wp:extent cx="2883535" cy="577342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577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321" w:rsidRDefault="004E4321" w:rsidP="004E4321">
      <w:pPr>
        <w:jc w:val="both"/>
        <w:rPr>
          <w:szCs w:val="24"/>
        </w:rPr>
      </w:pPr>
      <w:r w:rsidRPr="004A44DD">
        <w:rPr>
          <w:b/>
          <w:szCs w:val="24"/>
        </w:rPr>
        <w:t>Figure S1.</w:t>
      </w:r>
      <w:r w:rsidRPr="004A44DD">
        <w:rPr>
          <w:szCs w:val="24"/>
        </w:rPr>
        <w:t xml:space="preserve"> </w:t>
      </w:r>
      <w:proofErr w:type="gramStart"/>
      <w:r w:rsidRPr="004A44DD">
        <w:rPr>
          <w:szCs w:val="24"/>
        </w:rPr>
        <w:t>Cumulative population doublings</w:t>
      </w:r>
      <w:r>
        <w:rPr>
          <w:szCs w:val="24"/>
        </w:rPr>
        <w:t xml:space="preserve"> (CPD)</w:t>
      </w:r>
      <w:r w:rsidRPr="004A44DD">
        <w:rPr>
          <w:szCs w:val="24"/>
        </w:rPr>
        <w:t>.</w:t>
      </w:r>
      <w:proofErr w:type="gramEnd"/>
      <w:r w:rsidRPr="004A44DD">
        <w:rPr>
          <w:szCs w:val="24"/>
        </w:rPr>
        <w:t xml:space="preserve"> HUVEC </w:t>
      </w:r>
      <w:r>
        <w:rPr>
          <w:szCs w:val="24"/>
        </w:rPr>
        <w:t>were exposed to X-rays, 9.8 MeV/u or 91 MeV/u C-ions</w:t>
      </w:r>
      <w:r w:rsidR="002141AE">
        <w:rPr>
          <w:szCs w:val="24"/>
        </w:rPr>
        <w:t xml:space="preserve"> (n = 1)</w:t>
      </w:r>
      <w:r>
        <w:rPr>
          <w:szCs w:val="24"/>
        </w:rPr>
        <w:t xml:space="preserve"> at a CPD about </w:t>
      </w:r>
      <w:r w:rsidRPr="00F3334C">
        <w:rPr>
          <w:szCs w:val="24"/>
        </w:rPr>
        <w:t xml:space="preserve">6 (~ 11 </w:t>
      </w:r>
      <w:r>
        <w:rPr>
          <w:szCs w:val="24"/>
        </w:rPr>
        <w:t xml:space="preserve">days in culture, </w:t>
      </w:r>
      <w:r w:rsidRPr="00D66CBC">
        <w:rPr>
          <w:szCs w:val="24"/>
        </w:rPr>
        <w:t>indicated by the black arrow</w:t>
      </w:r>
      <w:r>
        <w:rPr>
          <w:szCs w:val="24"/>
        </w:rPr>
        <w:t xml:space="preserve">) and </w:t>
      </w:r>
      <w:proofErr w:type="spellStart"/>
      <w:r>
        <w:rPr>
          <w:szCs w:val="24"/>
        </w:rPr>
        <w:t>subcultured</w:t>
      </w:r>
      <w:proofErr w:type="spellEnd"/>
      <w:r>
        <w:rPr>
          <w:szCs w:val="24"/>
        </w:rPr>
        <w:t xml:space="preserve"> up to a CPD of </w:t>
      </w:r>
      <w:r w:rsidRPr="00F3334C">
        <w:rPr>
          <w:szCs w:val="24"/>
        </w:rPr>
        <w:t xml:space="preserve">28 (60 days </w:t>
      </w:r>
      <w:r>
        <w:rPr>
          <w:szCs w:val="24"/>
        </w:rPr>
        <w:t>in culture).</w:t>
      </w:r>
      <w:bookmarkStart w:id="0" w:name="_GoBack"/>
      <w:bookmarkEnd w:id="0"/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rPr>
          <w:szCs w:val="24"/>
        </w:rPr>
      </w:pPr>
      <w:r>
        <w:rPr>
          <w:szCs w:val="24"/>
        </w:rPr>
        <w:br w:type="page"/>
      </w:r>
    </w:p>
    <w:p w:rsidR="004E4321" w:rsidRPr="00575B5E" w:rsidRDefault="004E4321" w:rsidP="004E4321">
      <w:pPr>
        <w:jc w:val="both"/>
        <w:rPr>
          <w:noProof/>
          <w:szCs w:val="24"/>
          <w:lang w:eastAsia="de-DE"/>
        </w:rPr>
      </w:pPr>
    </w:p>
    <w:p w:rsidR="004E4321" w:rsidRDefault="004E4321" w:rsidP="004E4321">
      <w:pPr>
        <w:jc w:val="both"/>
        <w:rPr>
          <w:szCs w:val="24"/>
        </w:rPr>
      </w:pPr>
      <w:r>
        <w:rPr>
          <w:noProof/>
          <w:szCs w:val="24"/>
          <w:lang w:val="de-DE" w:eastAsia="de-DE"/>
        </w:rPr>
        <w:drawing>
          <wp:inline distT="0" distB="0" distL="0" distR="0" wp14:anchorId="2AAB93C0" wp14:editId="134FFBF4">
            <wp:extent cx="4572635" cy="27432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321" w:rsidRDefault="004E4321" w:rsidP="004E4321">
      <w:pPr>
        <w:jc w:val="both"/>
        <w:rPr>
          <w:szCs w:val="24"/>
        </w:rPr>
      </w:pPr>
      <w:r w:rsidRPr="004A44DD">
        <w:rPr>
          <w:b/>
          <w:szCs w:val="24"/>
        </w:rPr>
        <w:t>Figure S2.</w:t>
      </w:r>
      <w:r w:rsidRPr="00612AC1">
        <w:rPr>
          <w:szCs w:val="24"/>
        </w:rPr>
        <w:t xml:space="preserve"> </w:t>
      </w:r>
      <w:proofErr w:type="gramStart"/>
      <w:r w:rsidRPr="004A44DD">
        <w:rPr>
          <w:szCs w:val="24"/>
        </w:rPr>
        <w:t>Mitochondrial membrane potential.</w:t>
      </w:r>
      <w:proofErr w:type="gramEnd"/>
      <w:r w:rsidRPr="004A44DD">
        <w:rPr>
          <w:szCs w:val="24"/>
        </w:rPr>
        <w:t xml:space="preserve"> Cells</w:t>
      </w:r>
      <w:r>
        <w:rPr>
          <w:szCs w:val="24"/>
        </w:rPr>
        <w:t xml:space="preserve"> were stained with JC-1 dye prior to flow cytometer analysis at defined time points following radiation. The fraction of cells containing mitochondria with predominantly intact membrane potentials (indicated by red fluorescence) was determined. The </w:t>
      </w:r>
      <w:proofErr w:type="spellStart"/>
      <w:r>
        <w:rPr>
          <w:szCs w:val="24"/>
        </w:rPr>
        <w:t>mean±SD</w:t>
      </w:r>
      <w:proofErr w:type="spellEnd"/>
      <w:r>
        <w:rPr>
          <w:szCs w:val="24"/>
        </w:rPr>
        <w:t xml:space="preserve"> of four control cultures is plotted for comparison. Per sample, at least 1x10</w:t>
      </w:r>
      <w:r w:rsidRPr="004B7678">
        <w:rPr>
          <w:szCs w:val="24"/>
          <w:vertAlign w:val="superscript"/>
        </w:rPr>
        <w:t>4</w:t>
      </w:r>
      <w:r>
        <w:rPr>
          <w:szCs w:val="24"/>
        </w:rPr>
        <w:t xml:space="preserve"> cells were analyzed</w:t>
      </w:r>
      <w:r w:rsidR="00054D5D">
        <w:rPr>
          <w:szCs w:val="24"/>
        </w:rPr>
        <w:t xml:space="preserve"> (n = 1)</w:t>
      </w:r>
      <w:r>
        <w:rPr>
          <w:szCs w:val="24"/>
        </w:rPr>
        <w:t>.</w:t>
      </w:r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rPr>
          <w:szCs w:val="24"/>
        </w:rPr>
      </w:pPr>
      <w:r>
        <w:rPr>
          <w:szCs w:val="24"/>
        </w:rPr>
        <w:br w:type="page"/>
      </w:r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jc w:val="both"/>
        <w:rPr>
          <w:szCs w:val="24"/>
        </w:rPr>
      </w:pPr>
      <w:r>
        <w:rPr>
          <w:noProof/>
          <w:szCs w:val="24"/>
          <w:lang w:val="de-DE" w:eastAsia="de-DE"/>
        </w:rPr>
        <w:drawing>
          <wp:inline distT="0" distB="0" distL="0" distR="0" wp14:anchorId="7E8172E3" wp14:editId="472177F5">
            <wp:extent cx="4572635" cy="274955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321" w:rsidRDefault="004E4321" w:rsidP="004E4321">
      <w:pPr>
        <w:jc w:val="both"/>
        <w:rPr>
          <w:szCs w:val="24"/>
        </w:rPr>
      </w:pPr>
      <w:r w:rsidRPr="004A44DD">
        <w:rPr>
          <w:b/>
          <w:szCs w:val="24"/>
        </w:rPr>
        <w:t>Figure S3.</w:t>
      </w:r>
      <w:r w:rsidRPr="004A44DD">
        <w:rPr>
          <w:szCs w:val="24"/>
        </w:rPr>
        <w:t xml:space="preserve"> Expression of senescence associated β-galactosidase. </w:t>
      </w:r>
      <w:r>
        <w:rPr>
          <w:szCs w:val="24"/>
        </w:rPr>
        <w:t>Cells were fixed and stained at several time points after exposure. Cells positive for SA-β-gal, i.e. cells exhibiting a blue staining were scored. Controls of the three experiments are displayed as one set. The error</w:t>
      </w:r>
      <w:r w:rsidRPr="00BF108D">
        <w:rPr>
          <w:szCs w:val="24"/>
        </w:rPr>
        <w:t xml:space="preserve"> </w:t>
      </w:r>
      <w:r>
        <w:rPr>
          <w:szCs w:val="24"/>
        </w:rPr>
        <w:t>was calculated according to Poisson statistics</w:t>
      </w:r>
      <w:r w:rsidR="003174CB">
        <w:rPr>
          <w:szCs w:val="24"/>
        </w:rPr>
        <w:t xml:space="preserve"> (n = 1)</w:t>
      </w:r>
      <w:r>
        <w:rPr>
          <w:szCs w:val="24"/>
        </w:rPr>
        <w:t>.</w:t>
      </w:r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rPr>
          <w:szCs w:val="24"/>
        </w:rPr>
      </w:pPr>
      <w:r>
        <w:rPr>
          <w:szCs w:val="24"/>
        </w:rPr>
        <w:br w:type="page"/>
      </w:r>
    </w:p>
    <w:p w:rsidR="004E4321" w:rsidRPr="004A44DD" w:rsidRDefault="004E4321" w:rsidP="004E4321">
      <w:pPr>
        <w:jc w:val="both"/>
        <w:rPr>
          <w:szCs w:val="24"/>
        </w:rPr>
      </w:pPr>
      <w:r w:rsidRPr="004A44DD">
        <w:rPr>
          <w:b/>
          <w:szCs w:val="24"/>
        </w:rPr>
        <w:lastRenderedPageBreak/>
        <w:t>Table S1.</w:t>
      </w:r>
      <w:r w:rsidRPr="004A44DD">
        <w:rPr>
          <w:szCs w:val="24"/>
        </w:rPr>
        <w:t xml:space="preserve"> </w:t>
      </w:r>
      <w:proofErr w:type="gramStart"/>
      <w:r w:rsidRPr="004A44DD">
        <w:rPr>
          <w:szCs w:val="24"/>
        </w:rPr>
        <w:t>Supplementary information about applied high LET carbon ions.</w:t>
      </w:r>
      <w:proofErr w:type="gramEnd"/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4E4321" w:rsidRPr="00914847" w:rsidTr="00DE7AB2">
        <w:trPr>
          <w:trHeight w:val="1399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Ion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91484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Energy on target (MeV/u)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LET       (</w:t>
            </w:r>
            <w:proofErr w:type="spellStart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keV</w:t>
            </w:r>
            <w:proofErr w:type="spellEnd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/µm)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Fluence</w:t>
            </w:r>
            <w:proofErr w:type="spellEnd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         (particles /cm</w:t>
            </w:r>
            <w:r w:rsidRPr="00B26A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de-DE"/>
              </w:rPr>
              <w:t>2</w:t>
            </w: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Dose (</w:t>
            </w:r>
            <w:proofErr w:type="spellStart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Gy</w:t>
            </w:r>
            <w:proofErr w:type="spellEnd"/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Mean hits per nucleus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321" w:rsidRPr="0091484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91484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Number of cells hit at least once (%)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Carbon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0.4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27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1.0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55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1.6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72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2.0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80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3.0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91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4.0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96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Carbon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0.2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0.5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0.7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1.0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1.6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  <w:tr w:rsidR="004E4321" w:rsidRPr="00B26AD7" w:rsidTr="00DE7AB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2.1 x 10</w:t>
            </w:r>
            <w:r w:rsidRPr="00B26AD7">
              <w:rPr>
                <w:rFonts w:ascii="Arial" w:hAnsi="Arial" w:cs="Arial"/>
                <w:sz w:val="20"/>
                <w:szCs w:val="20"/>
                <w:vertAlign w:val="superscript"/>
                <w:lang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321" w:rsidRPr="00B26AD7" w:rsidRDefault="004E4321" w:rsidP="00DE7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AD7">
              <w:rPr>
                <w:rFonts w:ascii="Arial" w:hAnsi="Arial" w:cs="Arial"/>
                <w:sz w:val="20"/>
                <w:szCs w:val="20"/>
                <w:lang w:eastAsia="de-DE"/>
              </w:rPr>
              <w:t>100</w:t>
            </w:r>
          </w:p>
        </w:tc>
      </w:tr>
    </w:tbl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jc w:val="both"/>
        <w:rPr>
          <w:szCs w:val="24"/>
        </w:rPr>
      </w:pPr>
    </w:p>
    <w:p w:rsidR="004E4321" w:rsidRDefault="004E4321" w:rsidP="004E4321">
      <w:pPr>
        <w:spacing w:after="0"/>
        <w:rPr>
          <w:szCs w:val="24"/>
        </w:rPr>
      </w:pPr>
      <w:r>
        <w:rPr>
          <w:szCs w:val="24"/>
        </w:rPr>
        <w:br w:type="page"/>
      </w:r>
    </w:p>
    <w:p w:rsidR="004E4321" w:rsidRDefault="004E4321" w:rsidP="004E4321">
      <w:pPr>
        <w:jc w:val="both"/>
        <w:rPr>
          <w:szCs w:val="24"/>
        </w:rPr>
      </w:pPr>
      <w:r w:rsidRPr="004A44DD">
        <w:rPr>
          <w:b/>
          <w:szCs w:val="24"/>
        </w:rPr>
        <w:lastRenderedPageBreak/>
        <w:t>Table S2.</w:t>
      </w:r>
      <w:r w:rsidRPr="004A44DD">
        <w:rPr>
          <w:szCs w:val="24"/>
        </w:rPr>
        <w:t xml:space="preserve"> </w:t>
      </w:r>
      <w:proofErr w:type="gramStart"/>
      <w:r w:rsidRPr="004A44DD">
        <w:rPr>
          <w:szCs w:val="24"/>
        </w:rPr>
        <w:t xml:space="preserve">Supplementary information resulting from </w:t>
      </w:r>
      <w:proofErr w:type="spellStart"/>
      <w:r w:rsidRPr="004A44DD">
        <w:rPr>
          <w:szCs w:val="24"/>
        </w:rPr>
        <w:t>mFISH</w:t>
      </w:r>
      <w:proofErr w:type="spellEnd"/>
      <w:r w:rsidRPr="004A44DD">
        <w:rPr>
          <w:szCs w:val="24"/>
        </w:rPr>
        <w:t xml:space="preserve"> analysis.</w:t>
      </w:r>
      <w:proofErr w:type="gramEnd"/>
    </w:p>
    <w:p w:rsidR="00630B84" w:rsidRDefault="00630B84" w:rsidP="004E4321">
      <w:pPr>
        <w:jc w:val="both"/>
        <w:rPr>
          <w:szCs w:val="24"/>
        </w:rPr>
      </w:pPr>
      <w:r w:rsidRPr="00630B84">
        <w:rPr>
          <w:noProof/>
          <w:lang w:val="de-DE" w:eastAsia="de-DE"/>
        </w:rPr>
        <w:drawing>
          <wp:inline distT="0" distB="0" distL="0" distR="0" wp14:anchorId="392F5786" wp14:editId="683D858C">
            <wp:extent cx="5744588" cy="1078173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16" cy="10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84" w:rsidRPr="00C61B40" w:rsidRDefault="00630B84" w:rsidP="004E4321">
      <w:pPr>
        <w:jc w:val="both"/>
        <w:rPr>
          <w:szCs w:val="24"/>
        </w:rPr>
      </w:pPr>
    </w:p>
    <w:sectPr w:rsidR="00630B84" w:rsidRPr="00C61B40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A1" w:rsidRDefault="002328A1" w:rsidP="00117666">
      <w:pPr>
        <w:spacing w:after="0"/>
      </w:pPr>
      <w:r>
        <w:separator/>
      </w:r>
    </w:p>
  </w:endnote>
  <w:endnote w:type="continuationSeparator" w:id="0">
    <w:p w:rsidR="002328A1" w:rsidRDefault="002328A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1F7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1F7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1F7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1F7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A1" w:rsidRDefault="002328A1" w:rsidP="00117666">
      <w:pPr>
        <w:spacing w:after="0"/>
      </w:pPr>
      <w:r>
        <w:separator/>
      </w:r>
    </w:p>
  </w:footnote>
  <w:footnote w:type="continuationSeparator" w:id="0">
    <w:p w:rsidR="002328A1" w:rsidRDefault="002328A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F"/>
    <w:rsid w:val="0001436A"/>
    <w:rsid w:val="00034304"/>
    <w:rsid w:val="00035434"/>
    <w:rsid w:val="00052A14"/>
    <w:rsid w:val="00054D5D"/>
    <w:rsid w:val="00077D53"/>
    <w:rsid w:val="00105FD9"/>
    <w:rsid w:val="00117666"/>
    <w:rsid w:val="00147D3C"/>
    <w:rsid w:val="001549D3"/>
    <w:rsid w:val="00160065"/>
    <w:rsid w:val="00177D84"/>
    <w:rsid w:val="002141AE"/>
    <w:rsid w:val="002328A1"/>
    <w:rsid w:val="00267D18"/>
    <w:rsid w:val="002868E2"/>
    <w:rsid w:val="002869C3"/>
    <w:rsid w:val="002936E4"/>
    <w:rsid w:val="002C74CA"/>
    <w:rsid w:val="003174CB"/>
    <w:rsid w:val="003544FB"/>
    <w:rsid w:val="003D2F2D"/>
    <w:rsid w:val="00401590"/>
    <w:rsid w:val="00447801"/>
    <w:rsid w:val="00452E9C"/>
    <w:rsid w:val="004735C8"/>
    <w:rsid w:val="004961FF"/>
    <w:rsid w:val="004E4321"/>
    <w:rsid w:val="00517A89"/>
    <w:rsid w:val="005250F2"/>
    <w:rsid w:val="00593EEA"/>
    <w:rsid w:val="005A5EEE"/>
    <w:rsid w:val="00630B84"/>
    <w:rsid w:val="006375C7"/>
    <w:rsid w:val="0064043E"/>
    <w:rsid w:val="00654E8F"/>
    <w:rsid w:val="00660D05"/>
    <w:rsid w:val="006820B1"/>
    <w:rsid w:val="006B7D14"/>
    <w:rsid w:val="00701727"/>
    <w:rsid w:val="0070566C"/>
    <w:rsid w:val="00714C50"/>
    <w:rsid w:val="00725A7D"/>
    <w:rsid w:val="00783A16"/>
    <w:rsid w:val="00790BB3"/>
    <w:rsid w:val="007C206C"/>
    <w:rsid w:val="00817DD6"/>
    <w:rsid w:val="00883E9D"/>
    <w:rsid w:val="00885156"/>
    <w:rsid w:val="009151AA"/>
    <w:rsid w:val="0093429D"/>
    <w:rsid w:val="00940C9F"/>
    <w:rsid w:val="00943573"/>
    <w:rsid w:val="00970F7D"/>
    <w:rsid w:val="00994A3D"/>
    <w:rsid w:val="009C2B12"/>
    <w:rsid w:val="00A71F75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edem\AppData\Local\Temp\Rar$DIa0.163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99F8EC75804B8A2D088A5F174083" ma:contentTypeVersion="7" ma:contentTypeDescription="Create a new document." ma:contentTypeScope="" ma:versionID="ef3dc1053d477b442a17cab202a80ae5">
  <xsd:schema xmlns:xsd="http://www.w3.org/2001/XMLSchema" xmlns:p="http://schemas.microsoft.com/office/2006/metadata/properties" xmlns:ns2="afd345fb-99ae-4e73-bd30-cc05e3fb063a" targetNamespace="http://schemas.microsoft.com/office/2006/metadata/properties" ma:root="true" ma:fieldsID="d9ec8bf1ec77f36c25ca4f751d8c067c" ns2:_="">
    <xsd:import namespace="afd345fb-99ae-4e73-bd30-cc05e3fb063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fd345fb-99ae-4e73-bd30-cc05e3fb063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tleName xmlns="afd345fb-99ae-4e73-bd30-cc05e3fb063a">Data Sheet 1.DOCX</TitleName>
    <IsDeleted xmlns="afd345fb-99ae-4e73-bd30-cc05e3fb063a">false</IsDeleted>
    <StageName xmlns="afd345fb-99ae-4e73-bd30-cc05e3fb063a" xsi:nil="true"/>
    <Checked_x0020_Out_x0020_To xmlns="afd345fb-99ae-4e73-bd30-cc05e3fb063a">
      <UserInfo>
        <DisplayName/>
        <AccountId xsi:nil="true"/>
        <AccountType/>
      </UserInfo>
    </Checked_x0020_Out_x0020_To>
    <DocumentId xmlns="afd345fb-99ae-4e73-bd30-cc05e3fb063a">Data Sheet 1.DOCX</DocumentId>
    <DocumentType xmlns="afd345fb-99ae-4e73-bd30-cc05e3fb063a">Data Sheet</DocumentType>
    <FileFormat xmlns="afd345fb-99ae-4e73-bd30-cc05e3fb063a">DOCX</FileFormat>
  </documentManagement>
</p:properties>
</file>

<file path=customXml/itemProps1.xml><?xml version="1.0" encoding="utf-8"?>
<ds:datastoreItem xmlns:ds="http://schemas.openxmlformats.org/officeDocument/2006/customXml" ds:itemID="{CAF8A598-8C7D-435C-A079-B96CD0D7A9C4}"/>
</file>

<file path=customXml/itemProps2.xml><?xml version="1.0" encoding="utf-8"?>
<ds:datastoreItem xmlns:ds="http://schemas.openxmlformats.org/officeDocument/2006/customXml" ds:itemID="{DCE3C803-47B1-4401-93B4-26CE2061F26E}"/>
</file>

<file path=customXml/itemProps3.xml><?xml version="1.0" encoding="utf-8"?>
<ds:datastoreItem xmlns:ds="http://schemas.openxmlformats.org/officeDocument/2006/customXml" ds:itemID="{9D47ED59-58C3-4A99-A943-2A228701F21A}"/>
</file>

<file path=customXml/itemProps4.xml><?xml version="1.0" encoding="utf-8"?>
<ds:datastoreItem xmlns:ds="http://schemas.openxmlformats.org/officeDocument/2006/customXml" ds:itemID="{0394AB43-1CC5-4CFD-852F-B4E7AD21DCA9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Material.dotx</Template>
  <TotalTime>0</TotalTime>
  <Pages>6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Helmholzzentrum für Schwerionenforschung mbH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Julia</dc:creator>
  <cp:lastModifiedBy>Alexander Helm</cp:lastModifiedBy>
  <cp:revision>4</cp:revision>
  <cp:lastPrinted>2015-11-25T16:10:00Z</cp:lastPrinted>
  <dcterms:created xsi:type="dcterms:W3CDTF">2015-11-23T13:58:00Z</dcterms:created>
  <dcterms:modified xsi:type="dcterms:W3CDTF">2015-11-25T16:20:00Z</dcterms:modified>
</cp:coreProperties>
</file>