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83" w:rsidRPr="003C2F10" w:rsidRDefault="00974D83" w:rsidP="00974D83">
      <w:pPr>
        <w:pStyle w:val="Heading1"/>
        <w:rPr>
          <w:lang w:val="en-US"/>
        </w:rPr>
      </w:pPr>
      <w:r w:rsidRPr="003C2F10">
        <w:rPr>
          <w:lang w:val="en-US"/>
        </w:rPr>
        <w:t>Supplementary information</w:t>
      </w:r>
    </w:p>
    <w:p w:rsidR="00974D83" w:rsidRPr="003C2F10" w:rsidRDefault="00974D83" w:rsidP="00974D83">
      <w:pPr>
        <w:rPr>
          <w:lang w:val="en-US"/>
        </w:rPr>
      </w:pPr>
      <w:r w:rsidRPr="003C2F10">
        <w:rPr>
          <w:lang w:val="en-US"/>
        </w:rPr>
        <w:t xml:space="preserve">XPS measurements of all potential elements on the substrates C, N, O, </w:t>
      </w:r>
      <w:proofErr w:type="spellStart"/>
      <w:r w:rsidRPr="003C2F10">
        <w:rPr>
          <w:lang w:val="en-US"/>
        </w:rPr>
        <w:t>Pb</w:t>
      </w:r>
      <w:proofErr w:type="spellEnd"/>
      <w:r w:rsidRPr="003C2F10">
        <w:rPr>
          <w:lang w:val="en-US"/>
        </w:rPr>
        <w:t xml:space="preserve">, I, Ti were conducted and shown in </w:t>
      </w:r>
      <w:r w:rsidR="007C609C">
        <w:fldChar w:fldCharType="begin"/>
      </w:r>
      <w:r w:rsidR="007C609C">
        <w:instrText xml:space="preserve"> REF _Ref33801954 \h  \* MERGEFORMAT </w:instrText>
      </w:r>
      <w:r w:rsidR="007C609C">
        <w:fldChar w:fldCharType="separate"/>
      </w:r>
      <w:r w:rsidRPr="003C2F10">
        <w:rPr>
          <w:lang w:val="en-US"/>
        </w:rPr>
        <w:t xml:space="preserve">Suppl. Figure </w:t>
      </w:r>
      <w:r>
        <w:rPr>
          <w:lang w:val="en-US"/>
        </w:rPr>
        <w:t>1</w:t>
      </w:r>
      <w:r w:rsidR="007C609C">
        <w:fldChar w:fldCharType="end"/>
      </w:r>
      <w:r w:rsidRPr="003C2F10">
        <w:rPr>
          <w:lang w:val="en-US"/>
        </w:rPr>
        <w:t xml:space="preserve">. The binding energy peak positions are summarized in </w:t>
      </w:r>
      <w:r>
        <w:rPr>
          <w:lang w:val="en-US"/>
        </w:rPr>
        <w:fldChar w:fldCharType="begin"/>
      </w:r>
      <w:r>
        <w:rPr>
          <w:lang w:val="en-US"/>
        </w:rPr>
        <w:instrText xml:space="preserve"> REF _Ref39062194 \h </w:instrText>
      </w:r>
      <w:r>
        <w:rPr>
          <w:lang w:val="en-US"/>
        </w:rPr>
      </w:r>
      <w:r>
        <w:rPr>
          <w:lang w:val="en-US"/>
        </w:rPr>
        <w:fldChar w:fldCharType="separate"/>
      </w:r>
      <w:r w:rsidRPr="005A2D0B">
        <w:rPr>
          <w:lang w:val="en-US"/>
        </w:rPr>
        <w:t xml:space="preserve">Suppl. Table </w:t>
      </w:r>
      <w:r>
        <w:rPr>
          <w:noProof/>
          <w:lang w:val="en-US"/>
        </w:rPr>
        <w:t>1</w:t>
      </w:r>
      <w:r>
        <w:rPr>
          <w:lang w:val="en-US"/>
        </w:rPr>
        <w:fldChar w:fldCharType="end"/>
      </w:r>
      <w:r w:rsidRPr="003C2F10">
        <w:rPr>
          <w:lang w:val="en-US"/>
        </w:rPr>
        <w:t xml:space="preserve">. No titanium signal was picked up on the pin-hole free measuring spot, so pin holes down to titanium oxide can be ruled out as a component of the surface composition. Thus, two oxygen species O1s </w:t>
      </w:r>
      <w:proofErr w:type="spellStart"/>
      <w:r w:rsidRPr="003C2F10">
        <w:rPr>
          <w:b/>
          <w:bCs/>
          <w:lang w:val="en-US"/>
        </w:rPr>
        <w:t>a</w:t>
      </w:r>
      <w:proofErr w:type="spellEnd"/>
      <w:r w:rsidRPr="003C2F10">
        <w:rPr>
          <w:lang w:val="en-US"/>
        </w:rPr>
        <w:t xml:space="preserve"> (529.7 </w:t>
      </w:r>
      <w:proofErr w:type="spellStart"/>
      <w:r w:rsidRPr="003C2F10">
        <w:rPr>
          <w:lang w:val="en-US"/>
        </w:rPr>
        <w:t>eV</w:t>
      </w:r>
      <w:proofErr w:type="spellEnd"/>
      <w:r w:rsidRPr="003C2F10">
        <w:rPr>
          <w:lang w:val="en-US"/>
        </w:rPr>
        <w:t xml:space="preserve">) and O1s </w:t>
      </w:r>
      <w:r w:rsidRPr="003C2F10">
        <w:rPr>
          <w:b/>
          <w:bCs/>
          <w:lang w:val="en-US"/>
        </w:rPr>
        <w:t>b</w:t>
      </w:r>
      <w:r w:rsidRPr="003C2F10">
        <w:rPr>
          <w:lang w:val="en-US"/>
        </w:rPr>
        <w:t xml:space="preserve"> (532.3 </w:t>
      </w:r>
      <w:proofErr w:type="spellStart"/>
      <w:r w:rsidRPr="003C2F10">
        <w:rPr>
          <w:lang w:val="en-US"/>
        </w:rPr>
        <w:t>eV</w:t>
      </w:r>
      <w:proofErr w:type="spellEnd"/>
      <w:r w:rsidRPr="003C2F10">
        <w:rPr>
          <w:lang w:val="en-US"/>
        </w:rPr>
        <w:t>) can be attributed to PbO</w:t>
      </w:r>
      <w:r w:rsidRPr="003C2F10">
        <w:rPr>
          <w:noProof/>
          <w:vertAlign w:val="superscript"/>
          <w:lang w:val="en-US"/>
        </w:rPr>
        <w:t>26</w:t>
      </w:r>
      <w:r w:rsidRPr="003C2F10">
        <w:rPr>
          <w:lang w:val="en-US"/>
        </w:rPr>
        <w:t xml:space="preserve"> resp. </w:t>
      </w:r>
      <w:proofErr w:type="spellStart"/>
      <w:proofErr w:type="gramStart"/>
      <w:r w:rsidRPr="003C2F10">
        <w:rPr>
          <w:lang w:val="en-US"/>
        </w:rPr>
        <w:t>Pb</w:t>
      </w:r>
      <w:proofErr w:type="spellEnd"/>
      <w:r w:rsidRPr="003C2F10">
        <w:rPr>
          <w:lang w:val="en-US"/>
        </w:rPr>
        <w:t>(</w:t>
      </w:r>
      <w:proofErr w:type="gramEnd"/>
      <w:r w:rsidRPr="003C2F10">
        <w:rPr>
          <w:lang w:val="en-US"/>
        </w:rPr>
        <w:t>OH)</w:t>
      </w:r>
      <w:r w:rsidRPr="003C2F10">
        <w:rPr>
          <w:vertAlign w:val="subscript"/>
          <w:lang w:val="en-US"/>
        </w:rPr>
        <w:t>2</w:t>
      </w:r>
      <w:r w:rsidRPr="003C2F10">
        <w:rPr>
          <w:noProof/>
          <w:vertAlign w:val="superscript"/>
          <w:lang w:val="en-US"/>
        </w:rPr>
        <w:t>27</w:t>
      </w:r>
      <w:r w:rsidRPr="003C2F10">
        <w:rPr>
          <w:lang w:val="en-US"/>
        </w:rPr>
        <w:t xml:space="preserve">. The C1s </w:t>
      </w:r>
      <w:r w:rsidRPr="003C2F10">
        <w:rPr>
          <w:b/>
          <w:bCs/>
          <w:lang w:val="en-US"/>
        </w:rPr>
        <w:t>a</w:t>
      </w:r>
      <w:r w:rsidRPr="003C2F10">
        <w:rPr>
          <w:lang w:val="en-US"/>
        </w:rPr>
        <w:t xml:space="preserve"> species (286.7 </w:t>
      </w:r>
      <w:proofErr w:type="spellStart"/>
      <w:r w:rsidRPr="003C2F10">
        <w:rPr>
          <w:lang w:val="en-US"/>
        </w:rPr>
        <w:t>eV</w:t>
      </w:r>
      <w:proofErr w:type="spellEnd"/>
      <w:r w:rsidRPr="003C2F10">
        <w:rPr>
          <w:lang w:val="en-US"/>
        </w:rPr>
        <w:t>) can be attributed to MAPI</w:t>
      </w:r>
      <w:r w:rsidRPr="003C2F10">
        <w:rPr>
          <w:noProof/>
          <w:vertAlign w:val="superscript"/>
          <w:lang w:val="en-US"/>
        </w:rPr>
        <w:t>28</w:t>
      </w:r>
      <w:r w:rsidRPr="003C2F10">
        <w:rPr>
          <w:lang w:val="en-US"/>
        </w:rPr>
        <w:t xml:space="preserve"> and the C1s </w:t>
      </w:r>
      <w:r w:rsidRPr="003C2F10">
        <w:rPr>
          <w:b/>
          <w:bCs/>
          <w:lang w:val="en-US"/>
        </w:rPr>
        <w:t>b</w:t>
      </w:r>
      <w:r w:rsidRPr="003C2F10">
        <w:rPr>
          <w:lang w:val="en-US"/>
        </w:rPr>
        <w:t xml:space="preserve"> (285.5 </w:t>
      </w:r>
      <w:proofErr w:type="spellStart"/>
      <w:r w:rsidRPr="003C2F10">
        <w:rPr>
          <w:lang w:val="en-US"/>
        </w:rPr>
        <w:t>eV</w:t>
      </w:r>
      <w:proofErr w:type="spellEnd"/>
      <w:r w:rsidRPr="003C2F10">
        <w:rPr>
          <w:lang w:val="en-US"/>
        </w:rPr>
        <w:t>) to common surface contamination from ex-situ preparation</w:t>
      </w:r>
      <w:r w:rsidRPr="003C2F10">
        <w:rPr>
          <w:noProof/>
          <w:vertAlign w:val="superscript"/>
          <w:lang w:val="en-US"/>
        </w:rPr>
        <w:t>29</w:t>
      </w:r>
      <w:r w:rsidRPr="003C2F10">
        <w:rPr>
          <w:lang w:val="en-US"/>
        </w:rPr>
        <w:t xml:space="preserve">. A small side peak is visible in the Pb4f spectrum, the main one Pb4f 7/2 </w:t>
      </w:r>
      <w:r w:rsidRPr="003C2F10">
        <w:rPr>
          <w:b/>
          <w:bCs/>
          <w:lang w:val="en-US"/>
        </w:rPr>
        <w:t>b</w:t>
      </w:r>
      <w:r w:rsidRPr="003C2F10">
        <w:rPr>
          <w:lang w:val="en-US"/>
        </w:rPr>
        <w:t xml:space="preserve"> at 138.8 </w:t>
      </w:r>
      <w:proofErr w:type="spellStart"/>
      <w:r w:rsidRPr="003C2F10">
        <w:rPr>
          <w:lang w:val="en-US"/>
        </w:rPr>
        <w:t>eV</w:t>
      </w:r>
      <w:proofErr w:type="spellEnd"/>
      <w:r w:rsidRPr="003C2F10">
        <w:rPr>
          <w:lang w:val="en-US"/>
        </w:rPr>
        <w:t xml:space="preserve"> belonging to MAPI</w:t>
      </w:r>
      <w:r w:rsidRPr="003C2F10">
        <w:rPr>
          <w:noProof/>
          <w:vertAlign w:val="superscript"/>
          <w:lang w:val="en-US"/>
        </w:rPr>
        <w:t>30</w:t>
      </w:r>
      <w:r w:rsidRPr="003C2F10">
        <w:rPr>
          <w:lang w:val="en-US"/>
        </w:rPr>
        <w:t xml:space="preserve">, while Pb4f 7/2 </w:t>
      </w:r>
      <w:proofErr w:type="spellStart"/>
      <w:proofErr w:type="gramStart"/>
      <w:r w:rsidRPr="003C2F10">
        <w:rPr>
          <w:b/>
          <w:bCs/>
          <w:lang w:val="en-US"/>
        </w:rPr>
        <w:t>a</w:t>
      </w:r>
      <w:proofErr w:type="spellEnd"/>
      <w:r w:rsidRPr="003C2F10">
        <w:rPr>
          <w:b/>
          <w:bCs/>
          <w:lang w:val="en-US"/>
        </w:rPr>
        <w:t xml:space="preserve"> </w:t>
      </w:r>
      <w:r w:rsidRPr="003C2F10">
        <w:rPr>
          <w:lang w:val="en-US"/>
        </w:rPr>
        <w:t>at</w:t>
      </w:r>
      <w:proofErr w:type="gramEnd"/>
      <w:r w:rsidRPr="003C2F10">
        <w:rPr>
          <w:lang w:val="en-US"/>
        </w:rPr>
        <w:t xml:space="preserve"> 137.1 </w:t>
      </w:r>
      <w:proofErr w:type="spellStart"/>
      <w:r w:rsidRPr="003C2F10">
        <w:rPr>
          <w:lang w:val="en-US"/>
        </w:rPr>
        <w:t>eV</w:t>
      </w:r>
      <w:proofErr w:type="spellEnd"/>
      <w:r w:rsidRPr="003C2F10">
        <w:rPr>
          <w:lang w:val="en-US"/>
        </w:rPr>
        <w:t xml:space="preserve"> belongs to elemental lead (Pb</w:t>
      </w:r>
      <w:r w:rsidRPr="003C2F10">
        <w:rPr>
          <w:vertAlign w:val="superscript"/>
          <w:lang w:val="en-US"/>
        </w:rPr>
        <w:t>0</w:t>
      </w:r>
      <w:r w:rsidRPr="003C2F10">
        <w:rPr>
          <w:lang w:val="en-US"/>
        </w:rPr>
        <w:t>)</w:t>
      </w:r>
      <w:r w:rsidRPr="003C2F10">
        <w:rPr>
          <w:noProof/>
          <w:vertAlign w:val="superscript"/>
          <w:lang w:val="en-US"/>
        </w:rPr>
        <w:t>31</w:t>
      </w:r>
      <w:r w:rsidRPr="003C2F10">
        <w:rPr>
          <w:lang w:val="en-US"/>
        </w:rPr>
        <w:t xml:space="preserve">. The N1s at 402.7 </w:t>
      </w:r>
      <w:proofErr w:type="spellStart"/>
      <w:r w:rsidRPr="003C2F10">
        <w:rPr>
          <w:lang w:val="en-US"/>
        </w:rPr>
        <w:t>eV</w:t>
      </w:r>
      <w:proofErr w:type="spellEnd"/>
      <w:r w:rsidRPr="003C2F10">
        <w:rPr>
          <w:lang w:val="en-US"/>
        </w:rPr>
        <w:t xml:space="preserve"> belongs to MAPI</w:t>
      </w:r>
      <w:r w:rsidRPr="003C2F10">
        <w:rPr>
          <w:noProof/>
          <w:vertAlign w:val="superscript"/>
          <w:lang w:val="en-US"/>
        </w:rPr>
        <w:t>30</w:t>
      </w:r>
      <w:r w:rsidRPr="003C2F10">
        <w:rPr>
          <w:lang w:val="en-US"/>
        </w:rPr>
        <w:t xml:space="preserve"> and the I3d 5/2 at 619.6 </w:t>
      </w:r>
      <w:proofErr w:type="spellStart"/>
      <w:r w:rsidRPr="003C2F10">
        <w:rPr>
          <w:lang w:val="en-US"/>
        </w:rPr>
        <w:t>eV</w:t>
      </w:r>
      <w:proofErr w:type="spellEnd"/>
      <w:r w:rsidRPr="003C2F10">
        <w:rPr>
          <w:lang w:val="en-US"/>
        </w:rPr>
        <w:t xml:space="preserve"> belongs to MAPI</w:t>
      </w:r>
      <w:r w:rsidRPr="003C2F10">
        <w:rPr>
          <w:noProof/>
          <w:vertAlign w:val="superscript"/>
          <w:lang w:val="en-US"/>
        </w:rPr>
        <w:t>30</w:t>
      </w:r>
      <w:r w:rsidRPr="003C2F10">
        <w:rPr>
          <w:lang w:val="en-US"/>
        </w:rPr>
        <w:t xml:space="preserve">. No titanium is present on the surface of the sample. </w:t>
      </w:r>
    </w:p>
    <w:p w:rsidR="00974D83" w:rsidRPr="003C2F10" w:rsidRDefault="00974D83" w:rsidP="00974D83">
      <w:pPr>
        <w:jc w:val="both"/>
        <w:rPr>
          <w:lang w:val="en-US"/>
        </w:rPr>
      </w:pPr>
      <w:r w:rsidRPr="003C2F10">
        <w:rPr>
          <w:noProof/>
          <w:lang w:val="en-IN" w:eastAsia="en-IN"/>
        </w:rPr>
        <w:drawing>
          <wp:inline distT="0" distB="0" distL="0" distR="0">
            <wp:extent cx="2804181" cy="1536192"/>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181" cy="1536192"/>
                    </a:xfrm>
                    <a:prstGeom prst="rect">
                      <a:avLst/>
                    </a:prstGeom>
                    <a:noFill/>
                  </pic:spPr>
                </pic:pic>
              </a:graphicData>
            </a:graphic>
          </wp:inline>
        </w:drawing>
      </w:r>
      <w:r w:rsidRPr="003C2F10">
        <w:rPr>
          <w:noProof/>
          <w:lang w:val="en-IN" w:eastAsia="en-IN"/>
        </w:rPr>
        <w:drawing>
          <wp:inline distT="0" distB="0" distL="0" distR="0">
            <wp:extent cx="2807208" cy="1529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208" cy="1529275"/>
                    </a:xfrm>
                    <a:prstGeom prst="rect">
                      <a:avLst/>
                    </a:prstGeom>
                    <a:noFill/>
                  </pic:spPr>
                </pic:pic>
              </a:graphicData>
            </a:graphic>
          </wp:inline>
        </w:drawing>
      </w:r>
    </w:p>
    <w:p w:rsidR="00974D83" w:rsidRPr="003C2F10" w:rsidRDefault="00974D83" w:rsidP="00974D83">
      <w:pPr>
        <w:jc w:val="both"/>
        <w:rPr>
          <w:lang w:val="en-US"/>
        </w:rPr>
      </w:pPr>
      <w:r w:rsidRPr="003C2F10">
        <w:rPr>
          <w:noProof/>
          <w:lang w:val="en-IN" w:eastAsia="en-IN"/>
        </w:rPr>
        <w:drawing>
          <wp:inline distT="0" distB="0" distL="0" distR="0">
            <wp:extent cx="2803118" cy="15270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3118" cy="1527048"/>
                    </a:xfrm>
                    <a:prstGeom prst="rect">
                      <a:avLst/>
                    </a:prstGeom>
                    <a:noFill/>
                  </pic:spPr>
                </pic:pic>
              </a:graphicData>
            </a:graphic>
          </wp:inline>
        </w:drawing>
      </w:r>
      <w:r w:rsidRPr="003C2F10">
        <w:rPr>
          <w:noProof/>
          <w:lang w:val="en-IN" w:eastAsia="en-IN"/>
        </w:rPr>
        <w:drawing>
          <wp:inline distT="0" distB="0" distL="0" distR="0">
            <wp:extent cx="2803118" cy="152704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3118" cy="1527048"/>
                    </a:xfrm>
                    <a:prstGeom prst="rect">
                      <a:avLst/>
                    </a:prstGeom>
                    <a:noFill/>
                  </pic:spPr>
                </pic:pic>
              </a:graphicData>
            </a:graphic>
          </wp:inline>
        </w:drawing>
      </w:r>
    </w:p>
    <w:p w:rsidR="00974D83" w:rsidRPr="003C2F10" w:rsidRDefault="00974D83" w:rsidP="00974D83">
      <w:pPr>
        <w:keepNext/>
        <w:jc w:val="both"/>
      </w:pPr>
      <w:r w:rsidRPr="003C2F10">
        <w:rPr>
          <w:noProof/>
          <w:lang w:val="en-IN" w:eastAsia="en-IN"/>
        </w:rPr>
        <w:lastRenderedPageBreak/>
        <w:drawing>
          <wp:inline distT="0" distB="0" distL="0" distR="0">
            <wp:extent cx="2811413" cy="1527048"/>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413" cy="1527048"/>
                    </a:xfrm>
                    <a:prstGeom prst="rect">
                      <a:avLst/>
                    </a:prstGeom>
                    <a:noFill/>
                  </pic:spPr>
                </pic:pic>
              </a:graphicData>
            </a:graphic>
          </wp:inline>
        </w:drawing>
      </w:r>
      <w:r w:rsidRPr="003C2F10">
        <w:rPr>
          <w:noProof/>
          <w:lang w:val="en-IN" w:eastAsia="en-IN"/>
        </w:rPr>
        <w:drawing>
          <wp:inline distT="0" distB="0" distL="0" distR="0">
            <wp:extent cx="2811413" cy="1527048"/>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413" cy="1527048"/>
                    </a:xfrm>
                    <a:prstGeom prst="rect">
                      <a:avLst/>
                    </a:prstGeom>
                    <a:noFill/>
                  </pic:spPr>
                </pic:pic>
              </a:graphicData>
            </a:graphic>
          </wp:inline>
        </w:drawing>
      </w:r>
    </w:p>
    <w:p w:rsidR="00974D83" w:rsidRPr="003C2F10" w:rsidRDefault="00974D83" w:rsidP="00974D83">
      <w:pPr>
        <w:pStyle w:val="Caption"/>
        <w:jc w:val="center"/>
        <w:rPr>
          <w:lang w:val="en-US"/>
        </w:rPr>
      </w:pPr>
      <w:bookmarkStart w:id="0" w:name="_Ref33801954"/>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1</w:t>
      </w:r>
      <w:r w:rsidRPr="003C2F10">
        <w:fldChar w:fldCharType="end"/>
      </w:r>
      <w:bookmarkEnd w:id="0"/>
      <w:r w:rsidRPr="003C2F10">
        <w:rPr>
          <w:lang w:val="en-US"/>
        </w:rPr>
        <w:t xml:space="preserve"> Detailed XPS spectra of the elements carbon, nitrogen, oxygen, lead, iodine and titanium, of the 2.5 MA sample, from the last step of the CVD process, produced without the drying agent for the HI step</w:t>
      </w:r>
    </w:p>
    <w:p w:rsidR="00974D83" w:rsidRPr="005A2D0B" w:rsidRDefault="00974D83" w:rsidP="00974D83">
      <w:pPr>
        <w:jc w:val="both"/>
        <w:rPr>
          <w:lang w:val="en-US"/>
        </w:rPr>
      </w:pPr>
    </w:p>
    <w:p w:rsidR="00974D83" w:rsidRPr="005A2D0B" w:rsidRDefault="00974D83" w:rsidP="00974D83">
      <w:pPr>
        <w:pStyle w:val="Caption"/>
        <w:keepNext/>
        <w:jc w:val="center"/>
        <w:rPr>
          <w:lang w:val="en-US"/>
        </w:rPr>
      </w:pPr>
      <w:bookmarkStart w:id="1" w:name="_Ref39062194"/>
      <w:r w:rsidRPr="005A2D0B">
        <w:rPr>
          <w:lang w:val="en-US"/>
        </w:rPr>
        <w:t xml:space="preserve">Suppl. Table </w:t>
      </w:r>
      <w:r>
        <w:fldChar w:fldCharType="begin"/>
      </w:r>
      <w:r w:rsidRPr="005A2D0B">
        <w:rPr>
          <w:lang w:val="en-US"/>
        </w:rPr>
        <w:instrText xml:space="preserve"> SEQ Suppl._Table \* ARABIC </w:instrText>
      </w:r>
      <w:r>
        <w:fldChar w:fldCharType="separate"/>
      </w:r>
      <w:r>
        <w:rPr>
          <w:noProof/>
          <w:lang w:val="en-US"/>
        </w:rPr>
        <w:t>1</w:t>
      </w:r>
      <w:r>
        <w:fldChar w:fldCharType="end"/>
      </w:r>
      <w:bookmarkEnd w:id="1"/>
      <w:r w:rsidRPr="005A2D0B">
        <w:rPr>
          <w:lang w:val="en-US"/>
        </w:rPr>
        <w:t xml:space="preserve"> XPS core level binding energy positions of the elements found on the 2.5 MA step sample, produced without the drying agent for the HI step (see</w:t>
      </w:r>
      <w:r>
        <w:rPr>
          <w:lang w:val="en-US"/>
        </w:rPr>
        <w:t xml:space="preserve"> </w:t>
      </w:r>
      <w:r>
        <w:rPr>
          <w:lang w:val="en-US"/>
        </w:rPr>
        <w:fldChar w:fldCharType="begin"/>
      </w:r>
      <w:r>
        <w:rPr>
          <w:lang w:val="en-US"/>
        </w:rPr>
        <w:instrText xml:space="preserve"> REF _Ref33801954 \h </w:instrText>
      </w:r>
      <w:r>
        <w:rPr>
          <w:lang w:val="en-US"/>
        </w:rPr>
      </w:r>
      <w:r>
        <w:rPr>
          <w:lang w:val="en-US"/>
        </w:rPr>
        <w:fldChar w:fldCharType="separate"/>
      </w:r>
      <w:r w:rsidRPr="003C2F10">
        <w:rPr>
          <w:lang w:val="en-US"/>
        </w:rPr>
        <w:t xml:space="preserve">Suppl. Figure </w:t>
      </w:r>
      <w:r>
        <w:rPr>
          <w:noProof/>
          <w:lang w:val="en-US"/>
        </w:rPr>
        <w:t>1</w:t>
      </w:r>
      <w:r>
        <w:rPr>
          <w:lang w:val="en-US"/>
        </w:rPr>
        <w:fldChar w:fldCharType="end"/>
      </w:r>
      <w:r w:rsidRPr="005A2D0B">
        <w:rPr>
          <w:lang w:val="en-US"/>
        </w:rPr>
        <w:t>)</w:t>
      </w:r>
    </w:p>
    <w:tbl>
      <w:tblPr>
        <w:tblW w:w="9983" w:type="dxa"/>
        <w:tblLook w:val="04A0" w:firstRow="1" w:lastRow="0" w:firstColumn="1" w:lastColumn="0" w:noHBand="0" w:noVBand="1"/>
      </w:tblPr>
      <w:tblGrid>
        <w:gridCol w:w="1975"/>
        <w:gridCol w:w="718"/>
        <w:gridCol w:w="810"/>
        <w:gridCol w:w="900"/>
        <w:gridCol w:w="900"/>
        <w:gridCol w:w="810"/>
        <w:gridCol w:w="1440"/>
        <w:gridCol w:w="1170"/>
        <w:gridCol w:w="1260"/>
      </w:tblGrid>
      <w:tr w:rsidR="00974D83" w:rsidRPr="005A2D0B" w:rsidTr="002E739F">
        <w:trPr>
          <w:trHeight w:val="300"/>
        </w:trPr>
        <w:tc>
          <w:tcPr>
            <w:tcW w:w="1975" w:type="dxa"/>
            <w:tcBorders>
              <w:top w:val="single" w:sz="4" w:space="0" w:color="auto"/>
              <w:left w:val="single" w:sz="4" w:space="0" w:color="auto"/>
              <w:bottom w:val="nil"/>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Species</w:t>
            </w:r>
          </w:p>
        </w:tc>
        <w:tc>
          <w:tcPr>
            <w:tcW w:w="718" w:type="dxa"/>
            <w:tcBorders>
              <w:top w:val="single" w:sz="4" w:space="0" w:color="auto"/>
              <w:left w:val="single" w:sz="4" w:space="0" w:color="auto"/>
              <w:bottom w:val="nil"/>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 xml:space="preserve">C1s </w:t>
            </w:r>
            <w:r w:rsidRPr="005A2D0B">
              <w:rPr>
                <w:rFonts w:ascii="Calibri" w:eastAsia="Times New Roman" w:hAnsi="Calibri" w:cs="Calibri"/>
                <w:b/>
                <w:bCs/>
                <w:color w:val="000000"/>
                <w:sz w:val="22"/>
                <w:lang w:val="en-US"/>
              </w:rPr>
              <w:t>a</w:t>
            </w:r>
          </w:p>
        </w:tc>
        <w:tc>
          <w:tcPr>
            <w:tcW w:w="810" w:type="dxa"/>
            <w:tcBorders>
              <w:top w:val="single" w:sz="4" w:space="0" w:color="auto"/>
              <w:left w:val="nil"/>
              <w:bottom w:val="nil"/>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 xml:space="preserve">C1s </w:t>
            </w:r>
            <w:r w:rsidRPr="005A2D0B">
              <w:rPr>
                <w:rFonts w:ascii="Calibri" w:eastAsia="Times New Roman" w:hAnsi="Calibri" w:cs="Calibri"/>
                <w:b/>
                <w:bCs/>
                <w:color w:val="000000"/>
                <w:sz w:val="22"/>
                <w:lang w:val="en-US"/>
              </w:rPr>
              <w:t>b</w:t>
            </w:r>
          </w:p>
        </w:tc>
        <w:tc>
          <w:tcPr>
            <w:tcW w:w="900" w:type="dxa"/>
            <w:tcBorders>
              <w:top w:val="single" w:sz="4" w:space="0" w:color="auto"/>
              <w:left w:val="nil"/>
              <w:bottom w:val="nil"/>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N1s</w:t>
            </w:r>
          </w:p>
        </w:tc>
        <w:tc>
          <w:tcPr>
            <w:tcW w:w="900" w:type="dxa"/>
            <w:tcBorders>
              <w:top w:val="single" w:sz="4" w:space="0" w:color="auto"/>
              <w:left w:val="single" w:sz="4" w:space="0" w:color="auto"/>
              <w:bottom w:val="nil"/>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 xml:space="preserve">O1s </w:t>
            </w:r>
            <w:r w:rsidRPr="005A2D0B">
              <w:rPr>
                <w:rFonts w:ascii="Calibri" w:eastAsia="Times New Roman" w:hAnsi="Calibri" w:cs="Calibri"/>
                <w:b/>
                <w:bCs/>
                <w:color w:val="000000"/>
                <w:sz w:val="22"/>
                <w:lang w:val="en-US"/>
              </w:rPr>
              <w:t>a</w:t>
            </w:r>
          </w:p>
        </w:tc>
        <w:tc>
          <w:tcPr>
            <w:tcW w:w="810" w:type="dxa"/>
            <w:tcBorders>
              <w:top w:val="single" w:sz="4" w:space="0" w:color="auto"/>
              <w:left w:val="nil"/>
              <w:bottom w:val="nil"/>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 xml:space="preserve">O1s </w:t>
            </w:r>
            <w:r w:rsidRPr="005A2D0B">
              <w:rPr>
                <w:rFonts w:ascii="Calibri" w:eastAsia="Times New Roman" w:hAnsi="Calibri" w:cs="Calibri"/>
                <w:b/>
                <w:bCs/>
                <w:color w:val="000000"/>
                <w:sz w:val="22"/>
                <w:lang w:val="en-US"/>
              </w:rPr>
              <w:t>b</w:t>
            </w:r>
          </w:p>
        </w:tc>
        <w:tc>
          <w:tcPr>
            <w:tcW w:w="1440" w:type="dxa"/>
            <w:tcBorders>
              <w:top w:val="single" w:sz="4" w:space="0" w:color="auto"/>
              <w:left w:val="nil"/>
              <w:bottom w:val="nil"/>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 xml:space="preserve">Pb4f 7/2 </w:t>
            </w:r>
            <w:r w:rsidRPr="005A2D0B">
              <w:rPr>
                <w:rFonts w:ascii="Calibri" w:eastAsia="Times New Roman" w:hAnsi="Calibri" w:cs="Calibri"/>
                <w:b/>
                <w:bCs/>
                <w:color w:val="000000"/>
                <w:sz w:val="22"/>
                <w:lang w:val="en-US"/>
              </w:rPr>
              <w:t>a</w:t>
            </w:r>
          </w:p>
        </w:tc>
        <w:tc>
          <w:tcPr>
            <w:tcW w:w="1170" w:type="dxa"/>
            <w:tcBorders>
              <w:top w:val="single" w:sz="4" w:space="0" w:color="auto"/>
              <w:left w:val="nil"/>
              <w:bottom w:val="nil"/>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 xml:space="preserve">Pb4f 7/2 </w:t>
            </w:r>
            <w:r w:rsidRPr="005A2D0B">
              <w:rPr>
                <w:rFonts w:ascii="Calibri" w:eastAsia="Times New Roman" w:hAnsi="Calibri" w:cs="Calibri"/>
                <w:b/>
                <w:bCs/>
                <w:color w:val="000000"/>
                <w:sz w:val="22"/>
                <w:lang w:val="en-US"/>
              </w:rPr>
              <w:t>b</w:t>
            </w:r>
          </w:p>
        </w:tc>
        <w:tc>
          <w:tcPr>
            <w:tcW w:w="1260" w:type="dxa"/>
            <w:tcBorders>
              <w:top w:val="single" w:sz="4" w:space="0" w:color="auto"/>
              <w:left w:val="nil"/>
              <w:bottom w:val="nil"/>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I3d 5/2</w:t>
            </w:r>
          </w:p>
        </w:tc>
      </w:tr>
      <w:tr w:rsidR="00974D83" w:rsidRPr="005A2D0B" w:rsidTr="002E739F">
        <w:trPr>
          <w:trHeight w:val="300"/>
        </w:trPr>
        <w:tc>
          <w:tcPr>
            <w:tcW w:w="1975" w:type="dxa"/>
            <w:tcBorders>
              <w:top w:val="nil"/>
              <w:left w:val="single" w:sz="4" w:space="0" w:color="auto"/>
              <w:bottom w:val="single" w:sz="4" w:space="0" w:color="auto"/>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Binding Energy [</w:t>
            </w:r>
            <w:proofErr w:type="spellStart"/>
            <w:r w:rsidRPr="005A2D0B">
              <w:rPr>
                <w:rFonts w:ascii="Calibri" w:eastAsia="Times New Roman" w:hAnsi="Calibri" w:cs="Calibri"/>
                <w:color w:val="000000"/>
                <w:sz w:val="22"/>
                <w:lang w:val="en-US"/>
              </w:rPr>
              <w:t>eV</w:t>
            </w:r>
            <w:proofErr w:type="spellEnd"/>
            <w:r w:rsidRPr="005A2D0B">
              <w:rPr>
                <w:rFonts w:ascii="Calibri" w:eastAsia="Times New Roman" w:hAnsi="Calibri" w:cs="Calibri"/>
                <w:color w:val="000000"/>
                <w:sz w:val="22"/>
                <w:lang w:val="en-US"/>
              </w:rPr>
              <w:t>]</w:t>
            </w:r>
          </w:p>
        </w:tc>
        <w:tc>
          <w:tcPr>
            <w:tcW w:w="718" w:type="dxa"/>
            <w:tcBorders>
              <w:top w:val="nil"/>
              <w:left w:val="single" w:sz="4" w:space="0" w:color="auto"/>
              <w:bottom w:val="single" w:sz="4" w:space="0" w:color="auto"/>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286.7</w:t>
            </w:r>
          </w:p>
        </w:tc>
        <w:tc>
          <w:tcPr>
            <w:tcW w:w="810" w:type="dxa"/>
            <w:tcBorders>
              <w:top w:val="nil"/>
              <w:left w:val="nil"/>
              <w:bottom w:val="single" w:sz="4" w:space="0" w:color="auto"/>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285.4</w:t>
            </w:r>
          </w:p>
        </w:tc>
        <w:tc>
          <w:tcPr>
            <w:tcW w:w="900" w:type="dxa"/>
            <w:tcBorders>
              <w:top w:val="nil"/>
              <w:left w:val="nil"/>
              <w:bottom w:val="single" w:sz="4" w:space="0" w:color="auto"/>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402.7</w:t>
            </w:r>
          </w:p>
        </w:tc>
        <w:tc>
          <w:tcPr>
            <w:tcW w:w="900" w:type="dxa"/>
            <w:tcBorders>
              <w:top w:val="nil"/>
              <w:left w:val="single" w:sz="4" w:space="0" w:color="auto"/>
              <w:bottom w:val="single" w:sz="4" w:space="0" w:color="auto"/>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529.7</w:t>
            </w:r>
          </w:p>
        </w:tc>
        <w:tc>
          <w:tcPr>
            <w:tcW w:w="810" w:type="dxa"/>
            <w:tcBorders>
              <w:top w:val="nil"/>
              <w:left w:val="nil"/>
              <w:bottom w:val="single" w:sz="4" w:space="0" w:color="auto"/>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532.3</w:t>
            </w:r>
          </w:p>
        </w:tc>
        <w:tc>
          <w:tcPr>
            <w:tcW w:w="1440" w:type="dxa"/>
            <w:tcBorders>
              <w:top w:val="nil"/>
              <w:left w:val="nil"/>
              <w:bottom w:val="single" w:sz="4" w:space="0" w:color="auto"/>
              <w:right w:val="nil"/>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137.1</w:t>
            </w:r>
          </w:p>
        </w:tc>
        <w:tc>
          <w:tcPr>
            <w:tcW w:w="1170" w:type="dxa"/>
            <w:tcBorders>
              <w:top w:val="nil"/>
              <w:left w:val="nil"/>
              <w:bottom w:val="single" w:sz="4" w:space="0" w:color="auto"/>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138.8</w:t>
            </w:r>
          </w:p>
        </w:tc>
        <w:tc>
          <w:tcPr>
            <w:tcW w:w="1260" w:type="dxa"/>
            <w:tcBorders>
              <w:top w:val="nil"/>
              <w:left w:val="nil"/>
              <w:bottom w:val="single" w:sz="4" w:space="0" w:color="auto"/>
              <w:right w:val="single" w:sz="4" w:space="0" w:color="auto"/>
            </w:tcBorders>
            <w:shd w:val="clear" w:color="FFFFFF" w:fill="FFFFFF"/>
            <w:noWrap/>
            <w:vAlign w:val="bottom"/>
            <w:hideMark/>
          </w:tcPr>
          <w:p w:rsidR="00974D83" w:rsidRPr="005A2D0B" w:rsidRDefault="00974D83" w:rsidP="002E739F">
            <w:pPr>
              <w:spacing w:after="0" w:line="240" w:lineRule="auto"/>
              <w:jc w:val="center"/>
              <w:rPr>
                <w:rFonts w:ascii="Calibri" w:eastAsia="Times New Roman" w:hAnsi="Calibri" w:cs="Calibri"/>
                <w:color w:val="000000"/>
                <w:lang w:val="en-US"/>
              </w:rPr>
            </w:pPr>
            <w:r w:rsidRPr="005A2D0B">
              <w:rPr>
                <w:rFonts w:ascii="Calibri" w:eastAsia="Times New Roman" w:hAnsi="Calibri" w:cs="Calibri"/>
                <w:color w:val="000000"/>
                <w:sz w:val="22"/>
                <w:lang w:val="en-US"/>
              </w:rPr>
              <w:t>619.7</w:t>
            </w:r>
          </w:p>
        </w:tc>
      </w:tr>
    </w:tbl>
    <w:p w:rsidR="00974D83" w:rsidRPr="003C2F10" w:rsidRDefault="00974D83" w:rsidP="00974D83">
      <w:pPr>
        <w:jc w:val="both"/>
      </w:pPr>
    </w:p>
    <w:p w:rsidR="00974D83" w:rsidRPr="003C2F10" w:rsidRDefault="00974D83" w:rsidP="00974D83">
      <w:pPr>
        <w:keepNext/>
        <w:jc w:val="center"/>
      </w:pPr>
      <w:r w:rsidRPr="003C2F10">
        <w:rPr>
          <w:noProof/>
          <w:lang w:val="en-IN" w:eastAsia="en-IN"/>
        </w:rPr>
        <w:drawing>
          <wp:inline distT="0" distB="0" distL="0" distR="0">
            <wp:extent cx="5760720" cy="1613673"/>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613673"/>
                    </a:xfrm>
                    <a:prstGeom prst="rect">
                      <a:avLst/>
                    </a:prstGeom>
                    <a:noFill/>
                    <a:ln>
                      <a:noFill/>
                    </a:ln>
                  </pic:spPr>
                </pic:pic>
              </a:graphicData>
            </a:graphic>
          </wp:inline>
        </w:drawing>
      </w:r>
    </w:p>
    <w:p w:rsidR="00974D83" w:rsidRPr="003C2F10" w:rsidRDefault="00974D83" w:rsidP="00974D83">
      <w:pPr>
        <w:pStyle w:val="Caption"/>
        <w:jc w:val="center"/>
        <w:rPr>
          <w:lang w:val="en-US"/>
        </w:rPr>
      </w:pPr>
      <w:bookmarkStart w:id="2" w:name="_Ref33101355"/>
      <w:bookmarkStart w:id="3" w:name="_Ref33361865"/>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2</w:t>
      </w:r>
      <w:r w:rsidRPr="003C2F10">
        <w:fldChar w:fldCharType="end"/>
      </w:r>
      <w:bookmarkEnd w:id="2"/>
      <w:r w:rsidRPr="003C2F10">
        <w:rPr>
          <w:lang w:val="en-US"/>
        </w:rPr>
        <w:t xml:space="preserve"> Cross-section SEM images; Left: detail of surface of a spin coated lead iodide layer vs. Right: detail of surface of the MAPI layer after treatment of the lead iodide layer in the CVD process for 0.5 cycles with methylamine. Samples tilted at 70°</w:t>
      </w:r>
      <w:bookmarkEnd w:id="3"/>
    </w:p>
    <w:p w:rsidR="00974D83" w:rsidRPr="003C2F10" w:rsidRDefault="00974D83" w:rsidP="00974D83">
      <w:pPr>
        <w:rPr>
          <w:lang w:val="en-US"/>
        </w:rPr>
      </w:pPr>
    </w:p>
    <w:p w:rsidR="00974D83" w:rsidRPr="003C2F10" w:rsidRDefault="00974D83" w:rsidP="00974D83">
      <w:pPr>
        <w:rPr>
          <w:lang w:val="en-US"/>
        </w:rPr>
      </w:pPr>
      <w:r w:rsidRPr="003C2F10">
        <w:rPr>
          <w:lang w:val="en-US"/>
        </w:rPr>
        <w:t xml:space="preserve">The photoluminescence spectrum shown in </w:t>
      </w:r>
      <w:r w:rsidR="007C609C">
        <w:fldChar w:fldCharType="begin"/>
      </w:r>
      <w:r w:rsidR="007C609C">
        <w:instrText xml:space="preserve"> REF _Ref33101370 \h  \* MERGEFORMAT </w:instrText>
      </w:r>
      <w:r w:rsidR="007C609C">
        <w:fldChar w:fldCharType="separate"/>
      </w:r>
      <w:r w:rsidRPr="003C2F10">
        <w:rPr>
          <w:lang w:val="en-US"/>
        </w:rPr>
        <w:t xml:space="preserve">Suppl. Figure </w:t>
      </w:r>
      <w:r>
        <w:rPr>
          <w:lang w:val="en-US"/>
        </w:rPr>
        <w:t>3</w:t>
      </w:r>
      <w:r w:rsidR="007C609C">
        <w:fldChar w:fldCharType="end"/>
      </w:r>
      <w:r w:rsidRPr="003C2F10">
        <w:rPr>
          <w:lang w:val="en-US"/>
        </w:rPr>
        <w:t xml:space="preserve"> is fitted using a Voigt profile.</w:t>
      </w:r>
    </w:p>
    <w:p w:rsidR="00974D83" w:rsidRPr="003C2F10" w:rsidRDefault="00974D83" w:rsidP="00974D83">
      <w:pPr>
        <w:keepNext/>
        <w:jc w:val="center"/>
      </w:pPr>
      <w:r w:rsidRPr="003C2F10">
        <w:rPr>
          <w:noProof/>
          <w:lang w:val="en-IN" w:eastAsia="en-IN"/>
        </w:rPr>
        <w:lastRenderedPageBreak/>
        <w:drawing>
          <wp:inline distT="0" distB="0" distL="0" distR="0">
            <wp:extent cx="3848100" cy="272143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4328" cy="2732916"/>
                    </a:xfrm>
                    <a:prstGeom prst="rect">
                      <a:avLst/>
                    </a:prstGeom>
                    <a:noFill/>
                    <a:ln>
                      <a:noFill/>
                    </a:ln>
                  </pic:spPr>
                </pic:pic>
              </a:graphicData>
            </a:graphic>
          </wp:inline>
        </w:drawing>
      </w:r>
    </w:p>
    <w:p w:rsidR="00974D83" w:rsidRPr="003C2F10" w:rsidRDefault="00974D83" w:rsidP="00974D83">
      <w:pPr>
        <w:pStyle w:val="Caption"/>
        <w:jc w:val="center"/>
        <w:rPr>
          <w:lang w:val="en-US"/>
        </w:rPr>
      </w:pPr>
      <w:bookmarkStart w:id="4" w:name="_Ref33101370"/>
      <w:bookmarkStart w:id="5" w:name="_Ref33892256"/>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3</w:t>
      </w:r>
      <w:r w:rsidRPr="003C2F10">
        <w:fldChar w:fldCharType="end"/>
      </w:r>
      <w:bookmarkEnd w:id="4"/>
      <w:r w:rsidRPr="003C2F10">
        <w:rPr>
          <w:lang w:val="en-US"/>
        </w:rPr>
        <w:t xml:space="preserve"> Photoluminescence (PL) measurement of the 2.5 MA final cycle of the CVD process, made without the drying agent for the HI step</w:t>
      </w:r>
      <w:bookmarkEnd w:id="5"/>
    </w:p>
    <w:p w:rsidR="00974D83" w:rsidRPr="003C2F10" w:rsidRDefault="00974D83" w:rsidP="00974D83">
      <w:pPr>
        <w:keepNext/>
      </w:pPr>
      <w:r w:rsidRPr="003C2F10">
        <w:rPr>
          <w:noProof/>
          <w:lang w:val="en-IN" w:eastAsia="en-IN"/>
        </w:rPr>
        <w:lastRenderedPageBreak/>
        <w:drawing>
          <wp:inline distT="0" distB="0" distL="0" distR="0">
            <wp:extent cx="6286372" cy="45720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372" cy="4572000"/>
                    </a:xfrm>
                    <a:prstGeom prst="rect">
                      <a:avLst/>
                    </a:prstGeom>
                    <a:noFill/>
                  </pic:spPr>
                </pic:pic>
              </a:graphicData>
            </a:graphic>
          </wp:inline>
        </w:drawing>
      </w:r>
    </w:p>
    <w:p w:rsidR="00974D83" w:rsidRPr="003C2F10" w:rsidRDefault="00974D83" w:rsidP="00974D83">
      <w:pPr>
        <w:pStyle w:val="Caption"/>
        <w:rPr>
          <w:lang w:val="en-US"/>
        </w:rPr>
      </w:pPr>
      <w:bookmarkStart w:id="6" w:name="_Ref34148031"/>
      <w:bookmarkStart w:id="7" w:name="_Ref34148023"/>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4</w:t>
      </w:r>
      <w:r w:rsidRPr="003C2F10">
        <w:fldChar w:fldCharType="end"/>
      </w:r>
      <w:bookmarkEnd w:id="6"/>
      <w:r w:rsidRPr="003C2F10">
        <w:rPr>
          <w:lang w:val="en-US"/>
        </w:rPr>
        <w:t xml:space="preserve"> XRD pattern and refinements </w:t>
      </w:r>
      <w:proofErr w:type="gramStart"/>
      <w:r w:rsidRPr="003C2F10">
        <w:rPr>
          <w:lang w:val="en-US"/>
        </w:rPr>
        <w:t>of the 0.5 MA substrate from the CVD process</w:t>
      </w:r>
      <w:bookmarkEnd w:id="7"/>
      <w:proofErr w:type="gramEnd"/>
    </w:p>
    <w:p w:rsidR="00974D83" w:rsidRPr="003C2F10" w:rsidRDefault="00974D83" w:rsidP="00974D83">
      <w:pPr>
        <w:keepNext/>
      </w:pPr>
      <w:r w:rsidRPr="003C2F10">
        <w:rPr>
          <w:noProof/>
          <w:lang w:val="en-IN" w:eastAsia="en-IN"/>
        </w:rPr>
        <w:lastRenderedPageBreak/>
        <w:drawing>
          <wp:inline distT="0" distB="0" distL="0" distR="0">
            <wp:extent cx="6293435" cy="457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3435" cy="4572000"/>
                    </a:xfrm>
                    <a:prstGeom prst="rect">
                      <a:avLst/>
                    </a:prstGeom>
                    <a:noFill/>
                  </pic:spPr>
                </pic:pic>
              </a:graphicData>
            </a:graphic>
          </wp:inline>
        </w:drawing>
      </w:r>
    </w:p>
    <w:p w:rsidR="00974D83" w:rsidRPr="003C2F10" w:rsidRDefault="00974D83" w:rsidP="00974D83">
      <w:pPr>
        <w:pStyle w:val="Caption"/>
        <w:jc w:val="center"/>
        <w:rPr>
          <w:lang w:val="en-US"/>
        </w:rPr>
      </w:pPr>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5</w:t>
      </w:r>
      <w:r w:rsidRPr="003C2F10">
        <w:fldChar w:fldCharType="end"/>
      </w:r>
      <w:r w:rsidRPr="003C2F10">
        <w:rPr>
          <w:lang w:val="en-US"/>
        </w:rPr>
        <w:t xml:space="preserve"> XRD pattern and refinements of the 1.0 HI </w:t>
      </w:r>
      <w:proofErr w:type="gramStart"/>
      <w:r w:rsidRPr="003C2F10">
        <w:rPr>
          <w:lang w:val="en-US"/>
        </w:rPr>
        <w:t>substrate</w:t>
      </w:r>
      <w:proofErr w:type="gramEnd"/>
      <w:r w:rsidRPr="003C2F10">
        <w:rPr>
          <w:lang w:val="en-US"/>
        </w:rPr>
        <w:t xml:space="preserve"> from the CVD process</w:t>
      </w:r>
    </w:p>
    <w:p w:rsidR="00974D83" w:rsidRPr="003C2F10" w:rsidRDefault="00974D83" w:rsidP="00974D83">
      <w:pPr>
        <w:keepNext/>
      </w:pPr>
      <w:r w:rsidRPr="003C2F10">
        <w:rPr>
          <w:noProof/>
          <w:lang w:val="en-IN" w:eastAsia="en-IN"/>
        </w:rPr>
        <w:lastRenderedPageBreak/>
        <w:drawing>
          <wp:inline distT="0" distB="0" distL="0" distR="0">
            <wp:extent cx="6298058" cy="45720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8058" cy="4572000"/>
                    </a:xfrm>
                    <a:prstGeom prst="rect">
                      <a:avLst/>
                    </a:prstGeom>
                    <a:noFill/>
                  </pic:spPr>
                </pic:pic>
              </a:graphicData>
            </a:graphic>
          </wp:inline>
        </w:drawing>
      </w:r>
    </w:p>
    <w:p w:rsidR="00974D83" w:rsidRPr="003C2F10" w:rsidRDefault="00974D83" w:rsidP="00974D83">
      <w:pPr>
        <w:pStyle w:val="Caption"/>
        <w:jc w:val="center"/>
        <w:rPr>
          <w:lang w:val="en-US"/>
        </w:rPr>
      </w:pPr>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6</w:t>
      </w:r>
      <w:r w:rsidRPr="003C2F10">
        <w:fldChar w:fldCharType="end"/>
      </w:r>
      <w:r w:rsidRPr="003C2F10">
        <w:rPr>
          <w:lang w:val="en-US"/>
        </w:rPr>
        <w:t xml:space="preserve"> XRD pattern and refinements </w:t>
      </w:r>
      <w:proofErr w:type="gramStart"/>
      <w:r w:rsidRPr="003C2F10">
        <w:rPr>
          <w:lang w:val="en-US"/>
        </w:rPr>
        <w:t>of the 1.5 MA substrate from the CVD process</w:t>
      </w:r>
      <w:proofErr w:type="gramEnd"/>
    </w:p>
    <w:p w:rsidR="00974D83" w:rsidRPr="003C2F10" w:rsidRDefault="00974D83" w:rsidP="00974D83">
      <w:pPr>
        <w:keepNext/>
      </w:pPr>
      <w:r w:rsidRPr="003C2F10">
        <w:rPr>
          <w:noProof/>
          <w:lang w:val="en-IN" w:eastAsia="en-IN"/>
        </w:rPr>
        <w:lastRenderedPageBreak/>
        <w:drawing>
          <wp:inline distT="0" distB="0" distL="0" distR="0">
            <wp:extent cx="6293435" cy="457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3435" cy="4572000"/>
                    </a:xfrm>
                    <a:prstGeom prst="rect">
                      <a:avLst/>
                    </a:prstGeom>
                    <a:noFill/>
                  </pic:spPr>
                </pic:pic>
              </a:graphicData>
            </a:graphic>
          </wp:inline>
        </w:drawing>
      </w:r>
    </w:p>
    <w:p w:rsidR="00974D83" w:rsidRPr="003C2F10" w:rsidRDefault="00974D83" w:rsidP="00974D83">
      <w:pPr>
        <w:pStyle w:val="Caption"/>
        <w:jc w:val="center"/>
        <w:rPr>
          <w:lang w:val="en-US"/>
        </w:rPr>
      </w:pPr>
      <w:r w:rsidRPr="003C2F10">
        <w:rPr>
          <w:lang w:val="en-US"/>
        </w:rPr>
        <w:t xml:space="preserve">Suppl. Figure </w:t>
      </w:r>
      <w:r w:rsidRPr="003C2F10">
        <w:fldChar w:fldCharType="begin"/>
      </w:r>
      <w:r w:rsidRPr="003C2F10">
        <w:rPr>
          <w:lang w:val="en-US"/>
        </w:rPr>
        <w:instrText xml:space="preserve"> SEQ Suppl._Figure \* ARABIC </w:instrText>
      </w:r>
      <w:r w:rsidRPr="003C2F10">
        <w:fldChar w:fldCharType="separate"/>
      </w:r>
      <w:r>
        <w:rPr>
          <w:noProof/>
          <w:lang w:val="en-US"/>
        </w:rPr>
        <w:t>7</w:t>
      </w:r>
      <w:r w:rsidRPr="003C2F10">
        <w:fldChar w:fldCharType="end"/>
      </w:r>
      <w:r w:rsidRPr="003C2F10">
        <w:rPr>
          <w:lang w:val="en-US"/>
        </w:rPr>
        <w:t xml:space="preserve"> XRD pattern and refinements </w:t>
      </w:r>
      <w:proofErr w:type="gramStart"/>
      <w:r w:rsidRPr="003C2F10">
        <w:rPr>
          <w:lang w:val="en-US"/>
        </w:rPr>
        <w:t>of the 2.0 HI substrate from the CVD process</w:t>
      </w:r>
      <w:proofErr w:type="gramEnd"/>
    </w:p>
    <w:p w:rsidR="00EF4FDC" w:rsidRDefault="00EF4FDC"/>
    <w:p w:rsidR="007C609C" w:rsidRDefault="007C609C" w:rsidP="007C609C">
      <w:r>
        <w:t>REFERENCES</w:t>
      </w:r>
    </w:p>
    <w:p w:rsidR="007C609C" w:rsidRDefault="007C609C" w:rsidP="007C609C">
      <w:r>
        <w:t xml:space="preserve">26. </w:t>
      </w:r>
      <w:r>
        <w:t>Kim</w:t>
      </w:r>
      <w:r>
        <w:t xml:space="preserve"> </w:t>
      </w:r>
      <w:r>
        <w:t>KS, Oleary</w:t>
      </w:r>
      <w:r>
        <w:t xml:space="preserve"> </w:t>
      </w:r>
      <w:r>
        <w:t>TJ, Winograd</w:t>
      </w:r>
      <w:r>
        <w:t xml:space="preserve"> </w:t>
      </w:r>
      <w:r>
        <w:t>N. X‐ray photoelectron spectra of lead oxides. Anal Chem. 1973;45(13):2214‐2218.</w:t>
      </w:r>
    </w:p>
    <w:p w:rsidR="007C609C" w:rsidRDefault="007C609C" w:rsidP="007C609C">
      <w:r>
        <w:t xml:space="preserve">27. </w:t>
      </w:r>
      <w:r>
        <w:t>Huang</w:t>
      </w:r>
      <w:r>
        <w:t xml:space="preserve"> </w:t>
      </w:r>
      <w:r>
        <w:t>WX, Manser</w:t>
      </w:r>
      <w:r>
        <w:t xml:space="preserve"> </w:t>
      </w:r>
      <w:r>
        <w:t>JS, Kamat</w:t>
      </w:r>
      <w:r>
        <w:t xml:space="preserve"> </w:t>
      </w:r>
      <w:r>
        <w:t>PV, Ptasinska</w:t>
      </w:r>
      <w:r>
        <w:t xml:space="preserve"> </w:t>
      </w:r>
      <w:r>
        <w:t>S. Evolution of chemical composition, morphology, and photovoltaic efficiency of CH(3)NH(3)Pbl(3) perovskite under ambient conditions. Chem Mater. 2016;28(1):303‐311.</w:t>
      </w:r>
    </w:p>
    <w:p w:rsidR="007C609C" w:rsidRDefault="007C609C" w:rsidP="007C609C">
      <w:r>
        <w:lastRenderedPageBreak/>
        <w:t xml:space="preserve">28. </w:t>
      </w:r>
      <w:r>
        <w:t>Hawash</w:t>
      </w:r>
      <w:r>
        <w:t xml:space="preserve"> </w:t>
      </w:r>
      <w:r>
        <w:t>Z, Raga</w:t>
      </w:r>
      <w:r>
        <w:t xml:space="preserve"> </w:t>
      </w:r>
      <w:r>
        <w:t>SR, Son</w:t>
      </w:r>
      <w:r>
        <w:t xml:space="preserve"> </w:t>
      </w:r>
      <w:r>
        <w:t>DY, Ono</w:t>
      </w:r>
      <w:r>
        <w:t xml:space="preserve"> </w:t>
      </w:r>
      <w:r>
        <w:t>LK, Park</w:t>
      </w:r>
      <w:r>
        <w:t xml:space="preserve"> </w:t>
      </w:r>
      <w:r>
        <w:t>NG, Qi</w:t>
      </w:r>
      <w:r>
        <w:t xml:space="preserve"> </w:t>
      </w:r>
      <w:r>
        <w:t>YB. Interfacial modification of perovskite solar cells using an ultrathin MAI layer leads to enhanced energy level alignment, efficiencies, and reproducibility. J Phys Chem Lett. 2017;8(17):3947‐3953.</w:t>
      </w:r>
    </w:p>
    <w:p w:rsidR="007C609C" w:rsidRDefault="007C609C" w:rsidP="007C609C">
      <w:r>
        <w:t xml:space="preserve">29. </w:t>
      </w:r>
      <w:r>
        <w:t>Conings</w:t>
      </w:r>
      <w:r>
        <w:t xml:space="preserve"> </w:t>
      </w:r>
      <w:r>
        <w:t>B, Drijkoningen</w:t>
      </w:r>
      <w:r>
        <w:t xml:space="preserve"> </w:t>
      </w:r>
      <w:r>
        <w:t>J, Gauquelin</w:t>
      </w:r>
      <w:r>
        <w:t xml:space="preserve"> </w:t>
      </w:r>
      <w:r>
        <w:t>N, et al. Intrinsic thermal instability of methylammonium lead trihalide perovskite. Adv Energy Mater. 2015;5(15):1500477.</w:t>
      </w:r>
    </w:p>
    <w:p w:rsidR="007C609C" w:rsidRDefault="007C609C" w:rsidP="007C609C">
      <w:r>
        <w:t xml:space="preserve">30. </w:t>
      </w:r>
      <w:r>
        <w:t>Jiang</w:t>
      </w:r>
      <w:r>
        <w:t xml:space="preserve"> </w:t>
      </w:r>
      <w:r>
        <w:t>Y, Juarez‐Perez</w:t>
      </w:r>
      <w:r>
        <w:t xml:space="preserve"> </w:t>
      </w:r>
      <w:r>
        <w:t>EJ, Ge</w:t>
      </w:r>
      <w:r>
        <w:t xml:space="preserve"> </w:t>
      </w:r>
      <w:r>
        <w:t>QQ, et al. Post‐annealing of MAPbI(3) perovskite films with methylamine for efficient perovskite solar cells. Mater Horiz. 2016;3(6):548‐555.</w:t>
      </w:r>
    </w:p>
    <w:p w:rsidR="007C609C" w:rsidRDefault="007C609C" w:rsidP="007C609C">
      <w:r>
        <w:t xml:space="preserve">31. </w:t>
      </w:r>
      <w:r>
        <w:t>Hegde</w:t>
      </w:r>
      <w:r>
        <w:t xml:space="preserve"> </w:t>
      </w:r>
      <w:r>
        <w:t>RI, Sainkar</w:t>
      </w:r>
      <w:r>
        <w:t xml:space="preserve"> </w:t>
      </w:r>
      <w:r>
        <w:t>SR, Badrinarayanan</w:t>
      </w:r>
      <w:r>
        <w:t xml:space="preserve"> </w:t>
      </w:r>
      <w:r>
        <w:t>S, Sinha</w:t>
      </w:r>
      <w:r>
        <w:t xml:space="preserve"> </w:t>
      </w:r>
      <w:r>
        <w:t>APB. A study of dilute tin alloys by X‐ray photoelectron‐spectroscopy. J Electron Spectrosc. 1981;24(1):19‐25.</w:t>
      </w:r>
      <w:bookmarkStart w:id="8" w:name="_GoBack"/>
      <w:bookmarkEnd w:id="8"/>
    </w:p>
    <w:sectPr w:rsidR="007C609C" w:rsidSect="00EF4F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74D83"/>
    <w:rsid w:val="007C609C"/>
    <w:rsid w:val="00974D83"/>
    <w:rsid w:val="00E25BF2"/>
    <w:rsid w:val="00E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83"/>
    <w:pPr>
      <w:spacing w:after="160" w:line="480" w:lineRule="auto"/>
    </w:pPr>
    <w:rPr>
      <w:sz w:val="24"/>
      <w:lang w:val="de-DE"/>
    </w:rPr>
  </w:style>
  <w:style w:type="paragraph" w:styleId="Heading1">
    <w:name w:val="heading 1"/>
    <w:basedOn w:val="Normal"/>
    <w:next w:val="Normal"/>
    <w:link w:val="Heading1Char"/>
    <w:uiPriority w:val="9"/>
    <w:qFormat/>
    <w:rsid w:val="00974D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D83"/>
    <w:rPr>
      <w:rFonts w:asciiTheme="majorHAnsi" w:eastAsiaTheme="majorEastAsia" w:hAnsiTheme="majorHAnsi" w:cstheme="majorBidi"/>
      <w:color w:val="365F91" w:themeColor="accent1" w:themeShade="BF"/>
      <w:sz w:val="32"/>
      <w:szCs w:val="32"/>
      <w:lang w:val="de-DE"/>
    </w:rPr>
  </w:style>
  <w:style w:type="paragraph" w:styleId="Caption">
    <w:name w:val="caption"/>
    <w:basedOn w:val="Normal"/>
    <w:next w:val="Normal"/>
    <w:uiPriority w:val="35"/>
    <w:unhideWhenUsed/>
    <w:qFormat/>
    <w:rsid w:val="00974D83"/>
    <w:pPr>
      <w:spacing w:after="200" w:line="240" w:lineRule="auto"/>
    </w:pPr>
    <w:rPr>
      <w:i/>
      <w:iCs/>
      <w:color w:val="1F497D" w:themeColor="text2"/>
      <w:szCs w:val="18"/>
    </w:rPr>
  </w:style>
  <w:style w:type="paragraph" w:styleId="BalloonText">
    <w:name w:val="Balloon Text"/>
    <w:basedOn w:val="Normal"/>
    <w:link w:val="BalloonTextChar"/>
    <w:uiPriority w:val="99"/>
    <w:semiHidden/>
    <w:unhideWhenUsed/>
    <w:rsid w:val="0097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83"/>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tif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0016201</dc:creator>
  <cp:keywords/>
  <dc:description/>
  <cp:lastModifiedBy>Thomnic Trinisha</cp:lastModifiedBy>
  <cp:revision>3</cp:revision>
  <dcterms:created xsi:type="dcterms:W3CDTF">2020-05-02T05:15:00Z</dcterms:created>
  <dcterms:modified xsi:type="dcterms:W3CDTF">2020-05-13T14:17:00Z</dcterms:modified>
</cp:coreProperties>
</file>